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86F5" w14:textId="42D09F51" w:rsidR="00FF1297" w:rsidRPr="00FF1297" w:rsidRDefault="00FF1297" w:rsidP="00FF1297">
      <w:pPr>
        <w:rPr>
          <w:b/>
          <w:bCs/>
        </w:rPr>
      </w:pPr>
      <w:r w:rsidRPr="00FF1297">
        <w:rPr>
          <w:b/>
          <w:bCs/>
        </w:rPr>
        <w:t>Lietuvos Respublikos ambasados Ukrainoje</w:t>
      </w:r>
    </w:p>
    <w:p w14:paraId="587CBBFE" w14:textId="15346A2F" w:rsidR="00FF1297" w:rsidRPr="00FF1297" w:rsidRDefault="00FF1297" w:rsidP="00FF1297">
      <w:pPr>
        <w:rPr>
          <w:b/>
          <w:bCs/>
        </w:rPr>
      </w:pPr>
      <w:r w:rsidRPr="00FF1297">
        <w:rPr>
          <w:b/>
          <w:bCs/>
        </w:rPr>
        <w:t xml:space="preserve">Energetikos atašė </w:t>
      </w:r>
    </w:p>
    <w:p w14:paraId="25105BB0" w14:textId="77777777" w:rsidR="00FF1297" w:rsidRPr="00FF1297" w:rsidRDefault="00FF1297" w:rsidP="00FF1297">
      <w:pPr>
        <w:jc w:val="both"/>
        <w:rPr>
          <w:rFonts w:ascii="Times New Roman" w:hAnsi="Times New Roman" w:cs="Times New Roman"/>
          <w:b/>
          <w:bCs/>
          <w:sz w:val="24"/>
          <w:szCs w:val="24"/>
          <w:lang w:val="pl-PL" w:eastAsia="lt-LT"/>
        </w:rPr>
      </w:pPr>
      <w:r w:rsidRPr="00FF1297">
        <w:rPr>
          <w:rFonts w:ascii="Times New Roman" w:hAnsi="Times New Roman" w:cs="Times New Roman"/>
          <w:b/>
          <w:bCs/>
          <w:sz w:val="24"/>
          <w:szCs w:val="24"/>
          <w:lang w:val="pl-PL" w:eastAsia="lt-LT"/>
        </w:rPr>
        <w:t>Laura Pušinskaitė</w:t>
      </w:r>
    </w:p>
    <w:p w14:paraId="16DA45CC" w14:textId="074AFB01" w:rsidR="00FF1297" w:rsidRPr="00FF1297" w:rsidRDefault="00FF1297" w:rsidP="00FF1297">
      <w:pPr>
        <w:rPr>
          <w:b/>
          <w:bCs/>
        </w:rPr>
      </w:pPr>
      <w:r w:rsidRPr="00FF1297">
        <w:rPr>
          <w:b/>
          <w:bCs/>
        </w:rPr>
        <w:t xml:space="preserve">2022 m. lapkričio 8 d. informacija </w:t>
      </w:r>
    </w:p>
    <w:p w14:paraId="628C12F4" w14:textId="77777777" w:rsidR="00FF1297" w:rsidRDefault="00FF1297" w:rsidP="00FF1297"/>
    <w:p w14:paraId="4A9F16FB" w14:textId="77777777" w:rsidR="00FF1297" w:rsidRDefault="00FF1297" w:rsidP="00FF1297">
      <w:pPr>
        <w:rPr>
          <w:b/>
          <w:bCs/>
          <w:u w:val="single"/>
          <w:lang w:eastAsia="lt-LT"/>
        </w:rPr>
      </w:pPr>
      <w:r>
        <w:rPr>
          <w:b/>
          <w:bCs/>
          <w:color w:val="000000"/>
          <w:u w:val="single"/>
        </w:rPr>
        <w:t>Elektra</w:t>
      </w:r>
    </w:p>
    <w:p w14:paraId="54417AF1" w14:textId="77777777" w:rsidR="00FF1297" w:rsidRDefault="00FF1297" w:rsidP="00FF1297">
      <w:pPr>
        <w:jc w:val="both"/>
      </w:pPr>
      <w:r>
        <w:t>Po spalio 10 d. RU atakų „</w:t>
      </w:r>
      <w:proofErr w:type="spellStart"/>
      <w:r>
        <w:t>Ukraenergo</w:t>
      </w:r>
      <w:proofErr w:type="spellEnd"/>
      <w:r>
        <w:t xml:space="preserve">“ buvo priverstas nuo spalio  11 d. sustabdyti elektros eksportą į ES šalis ir Moldovą. Tik lapkričio 1 d., dienos pajėgumų aukcione importui iš Slovakijos, </w:t>
      </w:r>
      <w:proofErr w:type="spellStart"/>
      <w:r>
        <w:t>D.Trading</w:t>
      </w:r>
      <w:proofErr w:type="spellEnd"/>
      <w:r>
        <w:t xml:space="preserve"> užsakyti 25 MW (valandinis dydis) nuo 10:00 iki 15:00 už „nulinę" ribinę kainą. Nuo spalio 19 d. Ukraina iš Moldovos nevykdo importo. </w:t>
      </w:r>
    </w:p>
    <w:p w14:paraId="6F165A19" w14:textId="77777777" w:rsidR="00FF1297" w:rsidRDefault="00FF1297" w:rsidP="00FF1297">
      <w:pPr>
        <w:jc w:val="both"/>
      </w:pPr>
    </w:p>
    <w:p w14:paraId="478B5629" w14:textId="77777777" w:rsidR="00FF1297" w:rsidRDefault="00FF1297" w:rsidP="00FF1297">
      <w:pPr>
        <w:jc w:val="both"/>
      </w:pPr>
      <w:r>
        <w:t xml:space="preserve">Elektros sistemoje energijos </w:t>
      </w:r>
      <w:hyperlink r:id="rId5" w:history="1">
        <w:r>
          <w:rPr>
            <w:rStyle w:val="Hyperlink"/>
          </w:rPr>
          <w:t>deficitas</w:t>
        </w:r>
      </w:hyperlink>
      <w:r>
        <w:t xml:space="preserve">, laikini elektros tiekimo apribojimai (iki 6 val.) taikomi Kijevo mieste, Kijevo, Černigovo, Čerkasų ir </w:t>
      </w:r>
      <w:proofErr w:type="spellStart"/>
      <w:r>
        <w:t>Žitomyro</w:t>
      </w:r>
      <w:proofErr w:type="spellEnd"/>
      <w:r>
        <w:t xml:space="preserve"> regionuose. Daugiau nei 6 val. trukmės elektros tiekimo apribojimai taikomi Dniepropetrovsko, </w:t>
      </w:r>
      <w:proofErr w:type="spellStart"/>
      <w:r>
        <w:t>Kirovohrado</w:t>
      </w:r>
      <w:proofErr w:type="spellEnd"/>
      <w:r>
        <w:t xml:space="preserve">, Zaporožės, Sumų, </w:t>
      </w:r>
      <w:proofErr w:type="spellStart"/>
      <w:r>
        <w:t>Kharkovo</w:t>
      </w:r>
      <w:proofErr w:type="spellEnd"/>
      <w:r>
        <w:t xml:space="preserve"> ir Poltavos regionuose. „</w:t>
      </w:r>
      <w:proofErr w:type="spellStart"/>
      <w:r>
        <w:t>Ukrenergo</w:t>
      </w:r>
      <w:proofErr w:type="spellEnd"/>
      <w:r>
        <w:t xml:space="preserve">“ informuoja, kad norint stabiliai ir subalansuotai veikti elektros energijos sistemai, būtina sumažinti esamą </w:t>
      </w:r>
      <w:proofErr w:type="spellStart"/>
      <w:r>
        <w:t>e.e</w:t>
      </w:r>
      <w:proofErr w:type="spellEnd"/>
      <w:r>
        <w:t>. suvartojimą 30%. Kol kas energijos vartojimas didėja. Atjungimo grafikus kas dieną atnaujina skirstymo operatoriai. Tokia situacija išliks artimiausius kelis mėnesius.</w:t>
      </w:r>
    </w:p>
    <w:p w14:paraId="47753E15" w14:textId="77777777" w:rsidR="00FF1297" w:rsidRDefault="00FF1297" w:rsidP="00FF1297">
      <w:pPr>
        <w:jc w:val="both"/>
      </w:pPr>
      <w:r>
        <w:t xml:space="preserve">DTEK įspėja, kad tęsiantis atakoms prieš Kijevo </w:t>
      </w:r>
      <w:proofErr w:type="spellStart"/>
      <w:r>
        <w:t>e.e</w:t>
      </w:r>
      <w:proofErr w:type="spellEnd"/>
      <w:r>
        <w:t xml:space="preserve">. infrastuktūrą didėja pilno </w:t>
      </w:r>
      <w:proofErr w:type="spellStart"/>
      <w:r>
        <w:t>e.e</w:t>
      </w:r>
      <w:proofErr w:type="spellEnd"/>
      <w:r>
        <w:t>. tiekimo atjungimo tikimybė.</w:t>
      </w:r>
    </w:p>
    <w:p w14:paraId="77DB87A3" w14:textId="77777777" w:rsidR="00FF1297" w:rsidRDefault="00FF1297" w:rsidP="00FF1297"/>
    <w:p w14:paraId="3BEF7A84" w14:textId="77777777" w:rsidR="00FF1297" w:rsidRDefault="00FF1297" w:rsidP="00FF1297"/>
    <w:p w14:paraId="6D3BEEFF" w14:textId="77777777" w:rsidR="00FF1297" w:rsidRDefault="00FF1297" w:rsidP="00FF1297">
      <w:r>
        <w:rPr>
          <w:b/>
          <w:bCs/>
        </w:rPr>
        <w:t>DIENOS AUKCIONAI:</w:t>
      </w:r>
      <w:r>
        <w:t xml:space="preserve"> </w:t>
      </w:r>
      <w:hyperlink r:id="rId6" w:anchor="1609749055117-2319cdcb-f852" w:history="1">
        <w:r>
          <w:rPr>
            <w:rStyle w:val="Hyperlink"/>
          </w:rPr>
          <w:t>Tarpvalstybinių jun</w:t>
        </w:r>
        <w:r>
          <w:rPr>
            <w:rStyle w:val="Hyperlink"/>
          </w:rPr>
          <w:t>g</w:t>
        </w:r>
        <w:r>
          <w:rPr>
            <w:rStyle w:val="Hyperlink"/>
          </w:rPr>
          <w:t>čių pajėgumų aukcionų rezultatai | NPC "UKRENERGO" (</w:t>
        </w:r>
        <w:proofErr w:type="spellStart"/>
        <w:r>
          <w:rPr>
            <w:rStyle w:val="Hyperlink"/>
          </w:rPr>
          <w:t>ua.energy</w:t>
        </w:r>
        <w:proofErr w:type="spellEnd"/>
        <w:r>
          <w:rPr>
            <w:rStyle w:val="Hyperlink"/>
          </w:rPr>
          <w:t>)</w:t>
        </w:r>
      </w:hyperlink>
    </w:p>
    <w:p w14:paraId="2F4C8CB2" w14:textId="77777777" w:rsidR="00FF1297" w:rsidRDefault="00FF1297" w:rsidP="00FF1297">
      <w:pPr>
        <w:rPr>
          <w:b/>
          <w:bCs/>
        </w:rPr>
      </w:pPr>
    </w:p>
    <w:p w14:paraId="26BE5D69" w14:textId="77777777" w:rsidR="00FF1297" w:rsidRDefault="00FF1297" w:rsidP="00FF1297">
      <w:r>
        <w:rPr>
          <w:b/>
          <w:bCs/>
        </w:rPr>
        <w:t>ELEKTROS RINKOS INDEKSAI</w:t>
      </w:r>
      <w:r>
        <w:t xml:space="preserve">: </w:t>
      </w:r>
      <w:hyperlink r:id="rId7" w:history="1">
        <w:r>
          <w:rPr>
            <w:rStyle w:val="Hyperlink"/>
          </w:rPr>
          <w:t>Rinkos operatorius (oree.com.ua)</w:t>
        </w:r>
      </w:hyperlink>
    </w:p>
    <w:p w14:paraId="70124954" w14:textId="77777777" w:rsidR="00FF1297" w:rsidRDefault="00FF1297" w:rsidP="00FF1297"/>
    <w:p w14:paraId="08940099" w14:textId="77777777" w:rsidR="00FF1297" w:rsidRDefault="00FF1297" w:rsidP="00FF1297">
      <w:pPr>
        <w:shd w:val="clear" w:color="auto" w:fill="FFFFFF"/>
        <w:textAlignment w:val="baseline"/>
        <w:rPr>
          <w:rFonts w:ascii="Arial" w:hAnsi="Arial" w:cs="Arial"/>
          <w:b/>
          <w:bCs/>
          <w:color w:val="000000"/>
          <w:spacing w:val="-5"/>
          <w:sz w:val="24"/>
          <w:szCs w:val="24"/>
          <w:lang w:eastAsia="lt-LT"/>
        </w:rPr>
      </w:pPr>
      <w:proofErr w:type="spellStart"/>
      <w:r>
        <w:rPr>
          <w:rFonts w:ascii="Arial" w:hAnsi="Arial" w:cs="Arial"/>
          <w:b/>
          <w:bCs/>
          <w:color w:val="000000"/>
          <w:spacing w:val="-5"/>
          <w:sz w:val="24"/>
          <w:szCs w:val="24"/>
          <w:lang w:eastAsia="lt-LT"/>
        </w:rPr>
        <w:t>Electricity</w:t>
      </w:r>
      <w:proofErr w:type="spellEnd"/>
      <w:r>
        <w:rPr>
          <w:rFonts w:ascii="Arial" w:hAnsi="Arial" w:cs="Arial"/>
          <w:b/>
          <w:bCs/>
          <w:color w:val="000000"/>
          <w:spacing w:val="-5"/>
          <w:sz w:val="24"/>
          <w:szCs w:val="24"/>
          <w:lang w:eastAsia="lt-LT"/>
        </w:rPr>
        <w:t xml:space="preserve"> </w:t>
      </w:r>
      <w:proofErr w:type="spellStart"/>
      <w:r>
        <w:rPr>
          <w:rFonts w:ascii="Arial" w:hAnsi="Arial" w:cs="Arial"/>
          <w:b/>
          <w:bCs/>
          <w:color w:val="000000"/>
          <w:spacing w:val="-5"/>
          <w:sz w:val="24"/>
          <w:szCs w:val="24"/>
          <w:lang w:eastAsia="lt-LT"/>
        </w:rPr>
        <w:t>demand</w:t>
      </w:r>
      <w:proofErr w:type="spellEnd"/>
      <w:r>
        <w:rPr>
          <w:rFonts w:ascii="Arial" w:hAnsi="Arial" w:cs="Arial"/>
          <w:b/>
          <w:bCs/>
          <w:color w:val="000000"/>
          <w:spacing w:val="-5"/>
          <w:sz w:val="24"/>
          <w:szCs w:val="24"/>
          <w:lang w:eastAsia="lt-LT"/>
        </w:rPr>
        <w:t xml:space="preserve"> </w:t>
      </w:r>
      <w:proofErr w:type="spellStart"/>
      <w:r>
        <w:rPr>
          <w:rFonts w:ascii="Arial" w:hAnsi="Arial" w:cs="Arial"/>
          <w:b/>
          <w:bCs/>
          <w:color w:val="000000"/>
          <w:spacing w:val="-5"/>
          <w:sz w:val="24"/>
          <w:szCs w:val="24"/>
          <w:lang w:eastAsia="lt-LT"/>
        </w:rPr>
        <w:t>and</w:t>
      </w:r>
      <w:proofErr w:type="spellEnd"/>
      <w:r>
        <w:rPr>
          <w:rFonts w:ascii="Arial" w:hAnsi="Arial" w:cs="Arial"/>
          <w:b/>
          <w:bCs/>
          <w:color w:val="000000"/>
          <w:spacing w:val="-5"/>
          <w:sz w:val="24"/>
          <w:szCs w:val="24"/>
          <w:lang w:eastAsia="lt-LT"/>
        </w:rPr>
        <w:t xml:space="preserve"> </w:t>
      </w:r>
      <w:proofErr w:type="spellStart"/>
      <w:r>
        <w:rPr>
          <w:rFonts w:ascii="Arial" w:hAnsi="Arial" w:cs="Arial"/>
          <w:b/>
          <w:bCs/>
          <w:color w:val="000000"/>
          <w:spacing w:val="-5"/>
          <w:sz w:val="24"/>
          <w:szCs w:val="24"/>
          <w:lang w:eastAsia="lt-LT"/>
        </w:rPr>
        <w:t>generation</w:t>
      </w:r>
      <w:proofErr w:type="spellEnd"/>
      <w:r>
        <w:rPr>
          <w:rFonts w:ascii="Arial" w:hAnsi="Arial" w:cs="Arial"/>
          <w:b/>
          <w:bCs/>
          <w:color w:val="000000"/>
          <w:spacing w:val="-5"/>
          <w:sz w:val="24"/>
          <w:szCs w:val="24"/>
          <w:lang w:eastAsia="lt-LT"/>
        </w:rPr>
        <w:t xml:space="preserve"> </w:t>
      </w:r>
      <w:proofErr w:type="spellStart"/>
      <w:r>
        <w:rPr>
          <w:rFonts w:ascii="Arial" w:hAnsi="Arial" w:cs="Arial"/>
          <w:b/>
          <w:bCs/>
          <w:color w:val="000000"/>
          <w:spacing w:val="-5"/>
          <w:sz w:val="24"/>
          <w:szCs w:val="24"/>
          <w:lang w:eastAsia="lt-LT"/>
        </w:rPr>
        <w:t>in</w:t>
      </w:r>
      <w:proofErr w:type="spellEnd"/>
      <w:r>
        <w:rPr>
          <w:rFonts w:ascii="Arial" w:hAnsi="Arial" w:cs="Arial"/>
          <w:b/>
          <w:bCs/>
          <w:color w:val="000000"/>
          <w:spacing w:val="-5"/>
          <w:sz w:val="24"/>
          <w:szCs w:val="24"/>
          <w:lang w:eastAsia="lt-LT"/>
        </w:rPr>
        <w:t xml:space="preserve"> </w:t>
      </w:r>
      <w:hyperlink r:id="rId8" w:history="1">
        <w:proofErr w:type="spellStart"/>
        <w:r>
          <w:rPr>
            <w:rStyle w:val="Hyperlink"/>
            <w:rFonts w:ascii="Arial" w:hAnsi="Arial" w:cs="Arial"/>
            <w:b/>
            <w:bCs/>
            <w:spacing w:val="-5"/>
            <w:sz w:val="24"/>
            <w:szCs w:val="24"/>
            <w:lang w:eastAsia="lt-LT"/>
          </w:rPr>
          <w:t>Ukraine</w:t>
        </w:r>
        <w:proofErr w:type="spellEnd"/>
      </w:hyperlink>
      <w:r>
        <w:rPr>
          <w:rFonts w:ascii="Arial" w:hAnsi="Arial" w:cs="Arial"/>
          <w:b/>
          <w:bCs/>
          <w:color w:val="000000"/>
          <w:spacing w:val="-5"/>
          <w:sz w:val="24"/>
          <w:szCs w:val="24"/>
          <w:lang w:eastAsia="lt-LT"/>
        </w:rPr>
        <w:t>:</w:t>
      </w:r>
    </w:p>
    <w:p w14:paraId="30E7A268" w14:textId="77777777" w:rsidR="00FF1297" w:rsidRDefault="00FF1297" w:rsidP="00FF1297">
      <w:pPr>
        <w:shd w:val="clear" w:color="auto" w:fill="FFFFFF"/>
        <w:textAlignment w:val="baseline"/>
        <w:rPr>
          <w:rFonts w:ascii="Arial" w:hAnsi="Arial" w:cs="Arial"/>
          <w:b/>
          <w:bCs/>
          <w:color w:val="000000"/>
          <w:spacing w:val="-5"/>
          <w:lang w:eastAsia="lt-LT"/>
        </w:rPr>
      </w:pPr>
    </w:p>
    <w:p w14:paraId="414E4BCB" w14:textId="77777777" w:rsidR="00FF1297" w:rsidRDefault="00FF1297" w:rsidP="00FF1297">
      <w:pPr>
        <w:shd w:val="clear" w:color="auto" w:fill="FFFFFF"/>
        <w:textAlignment w:val="baseline"/>
        <w:rPr>
          <w:rFonts w:ascii="Arial" w:hAnsi="Arial" w:cs="Arial"/>
          <w:b/>
          <w:bCs/>
          <w:color w:val="000000"/>
          <w:spacing w:val="-5"/>
          <w:lang w:eastAsia="lt-LT"/>
        </w:rPr>
      </w:pPr>
      <w:r>
        <w:rPr>
          <w:rFonts w:ascii="Arial" w:hAnsi="Arial" w:cs="Arial"/>
          <w:b/>
          <w:bCs/>
          <w:color w:val="000000"/>
          <w:spacing w:val="-5"/>
          <w:lang w:eastAsia="lt-LT"/>
        </w:rPr>
        <w:t>Poreikis:</w:t>
      </w:r>
    </w:p>
    <w:p w14:paraId="73BE86AE" w14:textId="10B20DF1" w:rsidR="00FF1297" w:rsidRDefault="00FF1297" w:rsidP="00FF1297">
      <w:pPr>
        <w:rPr>
          <w:b/>
          <w:bCs/>
          <w:u w:val="single"/>
        </w:rPr>
      </w:pPr>
      <w:r>
        <w:rPr>
          <w:noProof/>
          <w:lang w:eastAsia="lt-LT"/>
        </w:rPr>
        <w:drawing>
          <wp:inline distT="0" distB="0" distL="0" distR="0" wp14:anchorId="0E9FA12D" wp14:editId="638C1943">
            <wp:extent cx="3911600" cy="224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11600" cy="2241550"/>
                    </a:xfrm>
                    <a:prstGeom prst="rect">
                      <a:avLst/>
                    </a:prstGeom>
                    <a:noFill/>
                    <a:ln>
                      <a:noFill/>
                    </a:ln>
                  </pic:spPr>
                </pic:pic>
              </a:graphicData>
            </a:graphic>
          </wp:inline>
        </w:drawing>
      </w:r>
    </w:p>
    <w:p w14:paraId="6F41BC8A" w14:textId="77777777" w:rsidR="00FF1297" w:rsidRDefault="00FF1297" w:rsidP="00FF1297">
      <w:pPr>
        <w:shd w:val="clear" w:color="auto" w:fill="FFFFFF"/>
        <w:textAlignment w:val="baseline"/>
        <w:rPr>
          <w:rFonts w:ascii="Arial" w:hAnsi="Arial" w:cs="Arial"/>
          <w:b/>
          <w:bCs/>
          <w:color w:val="000000"/>
          <w:spacing w:val="-5"/>
          <w:lang w:eastAsia="lt-LT"/>
        </w:rPr>
      </w:pPr>
      <w:r>
        <w:rPr>
          <w:rFonts w:ascii="Arial" w:hAnsi="Arial" w:cs="Arial"/>
          <w:b/>
          <w:bCs/>
          <w:color w:val="000000"/>
          <w:spacing w:val="-5"/>
          <w:lang w:eastAsia="lt-LT"/>
        </w:rPr>
        <w:t>Gamyba:</w:t>
      </w:r>
    </w:p>
    <w:p w14:paraId="47EAF9BC" w14:textId="77777777" w:rsidR="00FF1297" w:rsidRDefault="00FF1297" w:rsidP="00FF1297">
      <w:pPr>
        <w:shd w:val="clear" w:color="auto" w:fill="FFFFFF"/>
        <w:textAlignment w:val="baseline"/>
        <w:rPr>
          <w:rFonts w:ascii="Arial" w:hAnsi="Arial" w:cs="Arial"/>
          <w:b/>
          <w:bCs/>
          <w:color w:val="000000"/>
          <w:spacing w:val="-5"/>
          <w:lang w:eastAsia="lt-LT"/>
        </w:rPr>
      </w:pPr>
    </w:p>
    <w:p w14:paraId="1C7B8807" w14:textId="445F53D3" w:rsidR="00FF1297" w:rsidRDefault="00FF1297" w:rsidP="00FF1297">
      <w:pPr>
        <w:shd w:val="clear" w:color="auto" w:fill="FFFFFF"/>
        <w:textAlignment w:val="baseline"/>
        <w:rPr>
          <w:rFonts w:ascii="Arial" w:hAnsi="Arial" w:cs="Arial"/>
          <w:b/>
          <w:bCs/>
          <w:color w:val="000000"/>
          <w:spacing w:val="-5"/>
          <w:lang w:eastAsia="lt-LT"/>
        </w:rPr>
      </w:pPr>
      <w:r>
        <w:rPr>
          <w:noProof/>
          <w:color w:val="000000"/>
          <w:lang w:eastAsia="lt-LT"/>
        </w:rPr>
        <w:lastRenderedPageBreak/>
        <w:drawing>
          <wp:inline distT="0" distB="0" distL="0" distR="0" wp14:anchorId="1CF6E71C" wp14:editId="45BED0DC">
            <wp:extent cx="4502150" cy="250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02150" cy="2501900"/>
                    </a:xfrm>
                    <a:prstGeom prst="rect">
                      <a:avLst/>
                    </a:prstGeom>
                    <a:noFill/>
                    <a:ln>
                      <a:noFill/>
                    </a:ln>
                  </pic:spPr>
                </pic:pic>
              </a:graphicData>
            </a:graphic>
          </wp:inline>
        </w:drawing>
      </w:r>
    </w:p>
    <w:p w14:paraId="4A1E2924" w14:textId="1F8C6131" w:rsidR="00FF1297" w:rsidRDefault="00FF1297" w:rsidP="00FF1297">
      <w:pPr>
        <w:shd w:val="clear" w:color="auto" w:fill="FFFFFF"/>
        <w:textAlignment w:val="baseline"/>
        <w:rPr>
          <w:rFonts w:ascii="Arial" w:hAnsi="Arial" w:cs="Arial"/>
          <w:b/>
          <w:bCs/>
          <w:color w:val="000000"/>
          <w:spacing w:val="-5"/>
          <w:lang w:eastAsia="lt-LT"/>
        </w:rPr>
      </w:pPr>
      <w:r>
        <w:rPr>
          <w:noProof/>
          <w:color w:val="000000"/>
          <w:lang w:eastAsia="lt-LT"/>
        </w:rPr>
        <w:drawing>
          <wp:inline distT="0" distB="0" distL="0" distR="0" wp14:anchorId="470CD3A5" wp14:editId="25072E6A">
            <wp:extent cx="570865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08650" cy="2133600"/>
                    </a:xfrm>
                    <a:prstGeom prst="rect">
                      <a:avLst/>
                    </a:prstGeom>
                    <a:noFill/>
                    <a:ln>
                      <a:noFill/>
                    </a:ln>
                  </pic:spPr>
                </pic:pic>
              </a:graphicData>
            </a:graphic>
          </wp:inline>
        </w:drawing>
      </w:r>
    </w:p>
    <w:p w14:paraId="021D378D" w14:textId="77777777" w:rsidR="00FF1297" w:rsidRDefault="00FF1297" w:rsidP="00FF1297">
      <w:pPr>
        <w:rPr>
          <w:b/>
          <w:bCs/>
          <w:u w:val="single"/>
        </w:rPr>
      </w:pPr>
    </w:p>
    <w:p w14:paraId="35E8DE29" w14:textId="77777777" w:rsidR="00FF1297" w:rsidRDefault="00FF1297" w:rsidP="00FF1297">
      <w:pPr>
        <w:rPr>
          <w:b/>
          <w:bCs/>
          <w:u w:val="single"/>
        </w:rPr>
      </w:pPr>
    </w:p>
    <w:p w14:paraId="419F9EBE" w14:textId="77777777" w:rsidR="00FF1297" w:rsidRDefault="00FF1297" w:rsidP="00FF1297">
      <w:pPr>
        <w:rPr>
          <w:b/>
          <w:bCs/>
          <w:color w:val="000000"/>
          <w:u w:val="single"/>
        </w:rPr>
      </w:pPr>
      <w:r>
        <w:rPr>
          <w:b/>
          <w:bCs/>
          <w:color w:val="000000"/>
          <w:u w:val="single"/>
        </w:rPr>
        <w:t xml:space="preserve">Dujos </w:t>
      </w:r>
    </w:p>
    <w:p w14:paraId="2399B352" w14:textId="77777777" w:rsidR="00FF1297" w:rsidRDefault="00FF1297" w:rsidP="00FF1297">
      <w:pPr>
        <w:jc w:val="both"/>
      </w:pPr>
      <w:r>
        <w:t xml:space="preserve">Lapkričio 5 d. situacija dėl dujų tiekimo atstatymo išlieka nepakitusi. </w:t>
      </w:r>
    </w:p>
    <w:p w14:paraId="5A811187" w14:textId="77777777" w:rsidR="00FF1297" w:rsidRDefault="00FF1297" w:rsidP="00FF1297"/>
    <w:p w14:paraId="248A3F7C" w14:textId="77777777" w:rsidR="00FF1297" w:rsidRDefault="00FF1297" w:rsidP="00FF1297">
      <w:pPr>
        <w:jc w:val="both"/>
      </w:pPr>
      <w:r>
        <w:t xml:space="preserve">Lapkričio 5 d. dujų tranzitas per UA teritoriją siekia 42,4 (+0,1) MCM, </w:t>
      </w:r>
      <w:proofErr w:type="spellStart"/>
      <w:r>
        <w:t>t.y</w:t>
      </w:r>
      <w:proofErr w:type="spellEnd"/>
      <w:r>
        <w:t xml:space="preserve">. tik 39% rezervuotų pajėgumų (kontraktas su „Gazprom“ - 109 mln. m3 per dieną). Apie 86 proc. (37 MCM) dujų keliavo į Slovakiją, o 14 proc. (6 MCM) – į Moldovą. Tranzitinių srautų per </w:t>
      </w:r>
      <w:proofErr w:type="spellStart"/>
      <w:r>
        <w:t>Sokhranivką</w:t>
      </w:r>
      <w:proofErr w:type="spellEnd"/>
      <w:r>
        <w:t xml:space="preserve"> nėra. </w:t>
      </w:r>
    </w:p>
    <w:p w14:paraId="66B250E9" w14:textId="77777777" w:rsidR="00FF1297" w:rsidRDefault="00FF1297" w:rsidP="00FF1297">
      <w:r>
        <w:t xml:space="preserve">Bendras dujų importas iš ES sudarė 27 (+16,6) mcm: </w:t>
      </w:r>
    </w:p>
    <w:p w14:paraId="61D6E4D1" w14:textId="77777777" w:rsidR="00FF1297" w:rsidRDefault="00FF1297" w:rsidP="00FF1297">
      <w:pPr>
        <w:pStyle w:val="ListParagraph"/>
        <w:numPr>
          <w:ilvl w:val="0"/>
          <w:numId w:val="1"/>
        </w:numPr>
        <w:rPr>
          <w:rFonts w:eastAsia="Times New Roman"/>
        </w:rPr>
      </w:pPr>
      <w:r>
        <w:rPr>
          <w:rFonts w:eastAsia="Times New Roman"/>
        </w:rPr>
        <w:t xml:space="preserve">7 mcm per </w:t>
      </w:r>
      <w:proofErr w:type="spellStart"/>
      <w:r>
        <w:rPr>
          <w:rFonts w:eastAsia="Times New Roman"/>
        </w:rPr>
        <w:t>Hermanovice</w:t>
      </w:r>
      <w:proofErr w:type="spellEnd"/>
      <w:r>
        <w:rPr>
          <w:rFonts w:eastAsia="Times New Roman"/>
        </w:rPr>
        <w:t xml:space="preserve"> virtualus tiekimo taškas Ukraina-Lenkija, </w:t>
      </w:r>
    </w:p>
    <w:p w14:paraId="0C150E87" w14:textId="77777777" w:rsidR="00FF1297" w:rsidRDefault="00FF1297" w:rsidP="00FF1297">
      <w:pPr>
        <w:pStyle w:val="ListParagraph"/>
        <w:numPr>
          <w:ilvl w:val="0"/>
          <w:numId w:val="1"/>
        </w:numPr>
        <w:rPr>
          <w:rFonts w:eastAsia="Times New Roman"/>
        </w:rPr>
      </w:pPr>
      <w:r>
        <w:rPr>
          <w:rFonts w:eastAsia="Times New Roman"/>
        </w:rPr>
        <w:t xml:space="preserve">0 mcm per </w:t>
      </w:r>
      <w:proofErr w:type="spellStart"/>
      <w:r>
        <w:rPr>
          <w:rFonts w:eastAsia="Times New Roman"/>
        </w:rPr>
        <w:t>Beregdaroc</w:t>
      </w:r>
      <w:proofErr w:type="spellEnd"/>
      <w:r>
        <w:rPr>
          <w:rFonts w:eastAsia="Times New Roman"/>
        </w:rPr>
        <w:t xml:space="preserve"> dar vadinama </w:t>
      </w:r>
      <w:proofErr w:type="spellStart"/>
      <w:r>
        <w:rPr>
          <w:rFonts w:eastAsia="Times New Roman"/>
        </w:rPr>
        <w:t>Berehove</w:t>
      </w:r>
      <w:proofErr w:type="spellEnd"/>
      <w:r>
        <w:rPr>
          <w:rFonts w:eastAsia="Times New Roman"/>
        </w:rPr>
        <w:t xml:space="preserve"> (VIP </w:t>
      </w:r>
      <w:proofErr w:type="spellStart"/>
      <w:r>
        <w:rPr>
          <w:rFonts w:eastAsia="Times New Roman"/>
        </w:rPr>
        <w:t>Bereg</w:t>
      </w:r>
      <w:proofErr w:type="spellEnd"/>
      <w:r>
        <w:rPr>
          <w:rFonts w:eastAsia="Times New Roman"/>
        </w:rPr>
        <w:t>),</w:t>
      </w:r>
    </w:p>
    <w:p w14:paraId="1EDB1A66" w14:textId="77777777" w:rsidR="00FF1297" w:rsidRDefault="00FF1297" w:rsidP="00FF1297">
      <w:pPr>
        <w:pStyle w:val="ListParagraph"/>
        <w:numPr>
          <w:ilvl w:val="0"/>
          <w:numId w:val="1"/>
        </w:numPr>
        <w:rPr>
          <w:rFonts w:eastAsia="Times New Roman"/>
        </w:rPr>
      </w:pPr>
      <w:r>
        <w:rPr>
          <w:rFonts w:eastAsia="Times New Roman"/>
        </w:rPr>
        <w:t xml:space="preserve">20 mcm per </w:t>
      </w:r>
      <w:proofErr w:type="spellStart"/>
      <w:r>
        <w:rPr>
          <w:rFonts w:eastAsia="Times New Roman"/>
        </w:rPr>
        <w:t>Budince</w:t>
      </w:r>
      <w:proofErr w:type="spellEnd"/>
      <w:r>
        <w:rPr>
          <w:rFonts w:eastAsia="Times New Roman"/>
        </w:rPr>
        <w:t xml:space="preserve"> (Ukraina-Slovakija). </w:t>
      </w:r>
    </w:p>
    <w:p w14:paraId="56908E39" w14:textId="77777777" w:rsidR="00FF1297" w:rsidRDefault="00FF1297" w:rsidP="00FF1297">
      <w:r>
        <w:t xml:space="preserve">Dujų kiekis požeminėse UA dujų saugyklose – 14,7 </w:t>
      </w:r>
      <w:proofErr w:type="spellStart"/>
      <w:r>
        <w:t>bcm</w:t>
      </w:r>
      <w:proofErr w:type="spellEnd"/>
      <w:r>
        <w:t xml:space="preserve">, iš jų 11 </w:t>
      </w:r>
      <w:proofErr w:type="spellStart"/>
      <w:r>
        <w:t>bcm</w:t>
      </w:r>
      <w:proofErr w:type="spellEnd"/>
      <w:r>
        <w:t xml:space="preserve"> priklauso „</w:t>
      </w:r>
      <w:proofErr w:type="spellStart"/>
      <w:r>
        <w:t>Naftogaz</w:t>
      </w:r>
      <w:proofErr w:type="spellEnd"/>
      <w:r>
        <w:t xml:space="preserve">“ </w:t>
      </w:r>
    </w:p>
    <w:p w14:paraId="02AD1261" w14:textId="77777777" w:rsidR="00FF1297" w:rsidRDefault="00FF1297" w:rsidP="00FF1297"/>
    <w:p w14:paraId="44A6B568" w14:textId="77777777" w:rsidR="00FF1297" w:rsidRDefault="00FF1297" w:rsidP="00FF1297">
      <w:pPr>
        <w:rPr>
          <w:b/>
          <w:bCs/>
          <w:i/>
          <w:iCs/>
        </w:rPr>
      </w:pPr>
      <w:proofErr w:type="spellStart"/>
      <w:r>
        <w:rPr>
          <w:b/>
          <w:bCs/>
        </w:rPr>
        <w:t>Transit</w:t>
      </w:r>
      <w:proofErr w:type="spellEnd"/>
      <w:r>
        <w:rPr>
          <w:b/>
          <w:bCs/>
        </w:rPr>
        <w:t xml:space="preserve"> </w:t>
      </w:r>
      <w:proofErr w:type="spellStart"/>
      <w:r>
        <w:rPr>
          <w:b/>
          <w:bCs/>
        </w:rPr>
        <w:t>of</w:t>
      </w:r>
      <w:proofErr w:type="spellEnd"/>
      <w:r>
        <w:rPr>
          <w:b/>
          <w:bCs/>
        </w:rPr>
        <w:t xml:space="preserve"> </w:t>
      </w:r>
      <w:proofErr w:type="spellStart"/>
      <w:r>
        <w:rPr>
          <w:b/>
          <w:bCs/>
        </w:rPr>
        <w:t>Russian</w:t>
      </w:r>
      <w:proofErr w:type="spellEnd"/>
      <w:r>
        <w:rPr>
          <w:b/>
          <w:bCs/>
        </w:rPr>
        <w:t xml:space="preserve"> </w:t>
      </w:r>
      <w:proofErr w:type="spellStart"/>
      <w:r>
        <w:rPr>
          <w:b/>
          <w:bCs/>
        </w:rPr>
        <w:t>gas</w:t>
      </w:r>
      <w:proofErr w:type="spellEnd"/>
      <w:r>
        <w:rPr>
          <w:b/>
          <w:bCs/>
        </w:rPr>
        <w:t xml:space="preserve"> </w:t>
      </w:r>
      <w:proofErr w:type="spellStart"/>
      <w:r>
        <w:rPr>
          <w:b/>
          <w:bCs/>
        </w:rPr>
        <w:t>through</w:t>
      </w:r>
      <w:proofErr w:type="spellEnd"/>
      <w:r>
        <w:rPr>
          <w:b/>
          <w:bCs/>
        </w:rPr>
        <w:t xml:space="preserve"> </w:t>
      </w:r>
      <w:proofErr w:type="spellStart"/>
      <w:r>
        <w:rPr>
          <w:b/>
          <w:bCs/>
        </w:rPr>
        <w:t>the</w:t>
      </w:r>
      <w:proofErr w:type="spellEnd"/>
      <w:r>
        <w:rPr>
          <w:b/>
          <w:bCs/>
        </w:rPr>
        <w:t xml:space="preserve"> </w:t>
      </w:r>
      <w:proofErr w:type="spellStart"/>
      <w:r>
        <w:rPr>
          <w:b/>
          <w:bCs/>
        </w:rPr>
        <w:t>territory</w:t>
      </w:r>
      <w:proofErr w:type="spellEnd"/>
      <w:r>
        <w:rPr>
          <w:b/>
          <w:bCs/>
        </w:rPr>
        <w:t xml:space="preserve"> </w:t>
      </w:r>
      <w:proofErr w:type="spellStart"/>
      <w:r>
        <w:rPr>
          <w:b/>
          <w:bCs/>
        </w:rPr>
        <w:t>of</w:t>
      </w:r>
      <w:proofErr w:type="spellEnd"/>
      <w:r>
        <w:rPr>
          <w:b/>
          <w:bCs/>
        </w:rPr>
        <w:t xml:space="preserve"> </w:t>
      </w:r>
      <w:proofErr w:type="spellStart"/>
      <w:r>
        <w:rPr>
          <w:b/>
          <w:bCs/>
        </w:rPr>
        <w:t>Ukraine</w:t>
      </w:r>
      <w:proofErr w:type="spellEnd"/>
      <w:r>
        <w:rPr>
          <w:b/>
          <w:bCs/>
        </w:rPr>
        <w:t>, mcm</w:t>
      </w:r>
    </w:p>
    <w:p w14:paraId="4A8A2A07" w14:textId="2F14700D" w:rsidR="00FF1297" w:rsidRDefault="00FF1297" w:rsidP="00FF1297">
      <w:pPr>
        <w:rPr>
          <w:lang w:val="en-US"/>
        </w:rPr>
      </w:pPr>
      <w:r>
        <w:rPr>
          <w:noProof/>
          <w:lang w:eastAsia="lt-LT"/>
        </w:rPr>
        <w:lastRenderedPageBreak/>
        <w:drawing>
          <wp:inline distT="0" distB="0" distL="0" distR="0" wp14:anchorId="52203CCD" wp14:editId="69B3BADC">
            <wp:extent cx="442595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25950" cy="2667000"/>
                    </a:xfrm>
                    <a:prstGeom prst="rect">
                      <a:avLst/>
                    </a:prstGeom>
                    <a:noFill/>
                    <a:ln>
                      <a:noFill/>
                    </a:ln>
                  </pic:spPr>
                </pic:pic>
              </a:graphicData>
            </a:graphic>
          </wp:inline>
        </w:drawing>
      </w:r>
    </w:p>
    <w:p w14:paraId="317B37D2" w14:textId="77777777" w:rsidR="00FF1297" w:rsidRDefault="00FF1297" w:rsidP="00FF1297">
      <w:pPr>
        <w:rPr>
          <w:b/>
          <w:bCs/>
        </w:rPr>
      </w:pPr>
    </w:p>
    <w:p w14:paraId="5F192EA1" w14:textId="77777777" w:rsidR="00FF1297" w:rsidRDefault="00FF1297" w:rsidP="00FF1297">
      <w:r>
        <w:t xml:space="preserve">Šaltinis: </w:t>
      </w:r>
      <w:hyperlink r:id="rId17" w:history="1">
        <w:r>
          <w:rPr>
            <w:rStyle w:val="Hyperlink"/>
          </w:rPr>
          <w:t>GTSOU</w:t>
        </w:r>
      </w:hyperlink>
    </w:p>
    <w:p w14:paraId="641ED14B" w14:textId="77777777" w:rsidR="00FF1297" w:rsidRDefault="00FF1297" w:rsidP="00FF1297">
      <w:pPr>
        <w:rPr>
          <w:lang w:val="en-US"/>
        </w:rPr>
      </w:pPr>
    </w:p>
    <w:p w14:paraId="0D501F4A" w14:textId="77777777" w:rsidR="00FF1297" w:rsidRDefault="00FF1297" w:rsidP="00FF1297">
      <w:pPr>
        <w:pStyle w:val="ListParagraph"/>
        <w:jc w:val="both"/>
      </w:pPr>
    </w:p>
    <w:p w14:paraId="55CD02B8" w14:textId="77777777" w:rsidR="00FF1297" w:rsidRDefault="00FF1297" w:rsidP="00FF1297">
      <w:pPr>
        <w:pStyle w:val="ListParagraph"/>
        <w:numPr>
          <w:ilvl w:val="0"/>
          <w:numId w:val="2"/>
        </w:numPr>
        <w:jc w:val="both"/>
        <w:rPr>
          <w:rFonts w:eastAsia="Times New Roman"/>
        </w:rPr>
      </w:pPr>
      <w:r>
        <w:rPr>
          <w:rFonts w:eastAsia="Times New Roman"/>
          <w:b/>
          <w:bCs/>
          <w:lang w:eastAsia="lt-LT"/>
        </w:rPr>
        <w:t>Žala UA energetikos infrastruktūrai</w:t>
      </w:r>
      <w:r>
        <w:rPr>
          <w:rFonts w:eastAsia="Times New Roman"/>
          <w:lang w:eastAsia="lt-LT"/>
        </w:rPr>
        <w:t>.</w:t>
      </w:r>
      <w:r>
        <w:rPr>
          <w:rFonts w:eastAsia="Times New Roman"/>
        </w:rPr>
        <w:t xml:space="preserve"> Nuo spalio 10 d. apie 40 proc. visos energetikos infrastruktūros buvo sugadinta/sunaikinta dėl RU apšaudymų. Vien spalio 31 d. buvo apgadinti apie 18 energetikos objektų, o lapkričio 6 d. apie 4,5 mln. elektros vartotojų Kijevo mieste ir 10 regionų buvo </w:t>
      </w:r>
      <w:hyperlink r:id="rId18" w:history="1">
        <w:r>
          <w:rPr>
            <w:rStyle w:val="Hyperlink"/>
            <w:rFonts w:eastAsia="Times New Roman"/>
          </w:rPr>
          <w:t>atjungti</w:t>
        </w:r>
      </w:hyperlink>
      <w:r>
        <w:rPr>
          <w:rFonts w:eastAsia="Times New Roman"/>
        </w:rPr>
        <w:t xml:space="preserve"> nuo elektros energijos tiekimo. RU </w:t>
      </w:r>
      <w:hyperlink r:id="rId19" w:history="1">
        <w:r>
          <w:rPr>
            <w:rStyle w:val="Hyperlink"/>
            <w:rFonts w:eastAsia="Times New Roman"/>
          </w:rPr>
          <w:t>susprogdino</w:t>
        </w:r>
      </w:hyperlink>
      <w:r>
        <w:rPr>
          <w:rFonts w:eastAsia="Times New Roman"/>
        </w:rPr>
        <w:t xml:space="preserve"> aukštos įtampos linijas, einančias į </w:t>
      </w:r>
      <w:proofErr w:type="spellStart"/>
      <w:r>
        <w:rPr>
          <w:rFonts w:eastAsia="Times New Roman"/>
        </w:rPr>
        <w:t>Beryslav</w:t>
      </w:r>
      <w:proofErr w:type="spellEnd"/>
      <w:r>
        <w:rPr>
          <w:rFonts w:eastAsia="Times New Roman"/>
        </w:rPr>
        <w:t xml:space="preserve"> ir </w:t>
      </w:r>
      <w:proofErr w:type="spellStart"/>
      <w:r>
        <w:rPr>
          <w:rFonts w:eastAsia="Times New Roman"/>
        </w:rPr>
        <w:t>Khersono</w:t>
      </w:r>
      <w:proofErr w:type="spellEnd"/>
      <w:r>
        <w:rPr>
          <w:rFonts w:eastAsia="Times New Roman"/>
        </w:rPr>
        <w:t xml:space="preserve"> miestus. </w:t>
      </w:r>
    </w:p>
    <w:p w14:paraId="34EE2676" w14:textId="77777777" w:rsidR="00FF1297" w:rsidRDefault="00FF1297" w:rsidP="00FF1297">
      <w:pPr>
        <w:pStyle w:val="ListParagraph"/>
        <w:jc w:val="both"/>
      </w:pPr>
      <w:r>
        <w:t xml:space="preserve">Detali informacija nėra viešinama, bet galima daryti prielaidą, kad </w:t>
      </w:r>
      <w:proofErr w:type="spellStart"/>
      <w:r>
        <w:t>Svitlovodsk</w:t>
      </w:r>
      <w:proofErr w:type="spellEnd"/>
      <w:r>
        <w:t xml:space="preserve"> rajone nukentėjo tikriausiai </w:t>
      </w:r>
      <w:proofErr w:type="spellStart"/>
      <w:r>
        <w:t>Kremenčuko</w:t>
      </w:r>
      <w:proofErr w:type="spellEnd"/>
      <w:r>
        <w:t xml:space="preserve"> HE, </w:t>
      </w:r>
      <w:proofErr w:type="spellStart"/>
      <w:r>
        <w:t>Černivcių</w:t>
      </w:r>
      <w:proofErr w:type="spellEnd"/>
      <w:r>
        <w:t xml:space="preserve"> srityje - vienas iš Dniestro hidroelektrinių įrenginių ir Zaporožės mieste - Dniepro HE. Be to miestuose (Kijeve, Charkove, Dniepro, </w:t>
      </w:r>
      <w:proofErr w:type="spellStart"/>
      <w:r>
        <w:t>Pavlohrado</w:t>
      </w:r>
      <w:proofErr w:type="spellEnd"/>
      <w:r>
        <w:t xml:space="preserve">), taip pat Čerkasų, Dniepropetrovsko ir Zaporožės srityje surengtos atakos į elektros perdavimo ir skirstymo, šilumos gamybos infrastruktūrą. </w:t>
      </w:r>
    </w:p>
    <w:p w14:paraId="2F4639A3" w14:textId="77777777" w:rsidR="00FF1297" w:rsidRDefault="00FF1297" w:rsidP="00FF1297">
      <w:pPr>
        <w:pStyle w:val="ListParagraph"/>
        <w:jc w:val="both"/>
      </w:pPr>
    </w:p>
    <w:p w14:paraId="341DE19B" w14:textId="77777777" w:rsidR="00FF1297" w:rsidRDefault="00FF1297" w:rsidP="00FF1297">
      <w:pPr>
        <w:pStyle w:val="ListParagraph"/>
        <w:numPr>
          <w:ilvl w:val="0"/>
          <w:numId w:val="3"/>
        </w:numPr>
        <w:jc w:val="both"/>
        <w:rPr>
          <w:rFonts w:eastAsia="Times New Roman"/>
        </w:rPr>
      </w:pPr>
      <w:r>
        <w:rPr>
          <w:rFonts w:eastAsia="Times New Roman"/>
          <w:b/>
          <w:bCs/>
        </w:rPr>
        <w:t>„Nešvari bomba“.</w:t>
      </w:r>
      <w:r>
        <w:rPr>
          <w:rFonts w:eastAsia="Times New Roman"/>
        </w:rPr>
        <w:t xml:space="preserve"> TATENA </w:t>
      </w:r>
      <w:hyperlink r:id="rId20" w:history="1">
        <w:r>
          <w:rPr>
            <w:rStyle w:val="Hyperlink"/>
            <w:rFonts w:eastAsia="Times New Roman"/>
          </w:rPr>
          <w:t>atliko</w:t>
        </w:r>
      </w:hyperlink>
      <w:r>
        <w:rPr>
          <w:rFonts w:eastAsia="Times New Roman"/>
        </w:rPr>
        <w:t xml:space="preserve"> patikrinimus 2 Ukrainos branduoliniuose objektuose, kad paneigtų Rusijos propagandą apie tariamą „nešvarios bombos“ sukūrimą Ukrainoje. Patikrinimo metu nenustatyta jokia nedeklaruota veikla ar medžiaga.</w:t>
      </w:r>
    </w:p>
    <w:p w14:paraId="7964C468" w14:textId="77777777" w:rsidR="00FF1297" w:rsidRDefault="00FF1297" w:rsidP="00FF1297">
      <w:pPr>
        <w:pStyle w:val="ListParagraph"/>
        <w:jc w:val="both"/>
      </w:pPr>
    </w:p>
    <w:p w14:paraId="29CFC677" w14:textId="77777777" w:rsidR="00FF1297" w:rsidRDefault="00FF1297" w:rsidP="00FF1297">
      <w:pPr>
        <w:pStyle w:val="ListParagraph"/>
        <w:numPr>
          <w:ilvl w:val="0"/>
          <w:numId w:val="3"/>
        </w:numPr>
        <w:jc w:val="both"/>
        <w:rPr>
          <w:rFonts w:eastAsia="Times New Roman"/>
        </w:rPr>
      </w:pPr>
      <w:r>
        <w:rPr>
          <w:rFonts w:eastAsia="Times New Roman"/>
          <w:b/>
          <w:bCs/>
        </w:rPr>
        <w:t>Žala gamtai.</w:t>
      </w:r>
      <w:r>
        <w:rPr>
          <w:rFonts w:eastAsia="Times New Roman"/>
        </w:rPr>
        <w:t xml:space="preserve"> RU okupantai prie </w:t>
      </w:r>
      <w:proofErr w:type="spellStart"/>
      <w:r>
        <w:rPr>
          <w:rFonts w:eastAsia="Times New Roman"/>
        </w:rPr>
        <w:t>Dnipro</w:t>
      </w:r>
      <w:proofErr w:type="spellEnd"/>
      <w:r>
        <w:rPr>
          <w:rFonts w:eastAsia="Times New Roman"/>
        </w:rPr>
        <w:t xml:space="preserve"> prieplaukų ir švartavimosi vietų </w:t>
      </w:r>
      <w:hyperlink r:id="rId21" w:history="1">
        <w:r>
          <w:rPr>
            <w:rStyle w:val="Hyperlink"/>
            <w:rFonts w:eastAsia="Times New Roman"/>
          </w:rPr>
          <w:t>susprogdino</w:t>
        </w:r>
      </w:hyperlink>
      <w:r>
        <w:rPr>
          <w:rFonts w:eastAsia="Times New Roman"/>
        </w:rPr>
        <w:t xml:space="preserve"> vandens transporto priemones ir laivus, išsiliejo dešimtis tonų kuro ir tepalų. RU padaryta žala aplinkai, </w:t>
      </w:r>
      <w:hyperlink r:id="rId22" w:history="1">
        <w:r>
          <w:rPr>
            <w:rStyle w:val="Hyperlink"/>
            <w:rFonts w:eastAsia="Times New Roman"/>
          </w:rPr>
          <w:t>anot</w:t>
        </w:r>
      </w:hyperlink>
      <w:r>
        <w:rPr>
          <w:rFonts w:eastAsia="Times New Roman"/>
        </w:rPr>
        <w:t xml:space="preserve"> operatyvinio štabo duomenų, siekia daugiau nei 1,35 trilijoną UAH. Dėl miškų gaisrų naftos produktų deginimo ir pramonės objektų gaisrų į orą buvo išleista mažiausiai 67 mln. tonų pavojingų teršalų, palyginti su 2,2 mln. 2021 ir 2020. Maždaug trečdalyje užimtos teritorijos reikės išminavimo darbų, o tai užtruks mažiausiai 10 metų.</w:t>
      </w:r>
    </w:p>
    <w:p w14:paraId="22FD804D" w14:textId="77777777" w:rsidR="00FF1297" w:rsidRDefault="00FF1297" w:rsidP="00FF1297">
      <w:pPr>
        <w:pStyle w:val="ListParagraph"/>
      </w:pPr>
    </w:p>
    <w:p w14:paraId="722FBEDF" w14:textId="77777777" w:rsidR="00FF1297" w:rsidRDefault="00FF1297" w:rsidP="00FF1297">
      <w:pPr>
        <w:pStyle w:val="ListParagraph"/>
        <w:numPr>
          <w:ilvl w:val="0"/>
          <w:numId w:val="3"/>
        </w:numPr>
        <w:jc w:val="both"/>
        <w:rPr>
          <w:rFonts w:eastAsia="Times New Roman"/>
        </w:rPr>
      </w:pPr>
      <w:r>
        <w:rPr>
          <w:rFonts w:eastAsia="Times New Roman"/>
          <w:b/>
          <w:bCs/>
        </w:rPr>
        <w:t xml:space="preserve">International </w:t>
      </w:r>
      <w:proofErr w:type="spellStart"/>
      <w:r>
        <w:rPr>
          <w:rFonts w:eastAsia="Times New Roman"/>
          <w:b/>
          <w:bCs/>
        </w:rPr>
        <w:t>Advisory</w:t>
      </w:r>
      <w:proofErr w:type="spellEnd"/>
      <w:r>
        <w:rPr>
          <w:rFonts w:eastAsia="Times New Roman"/>
          <w:b/>
          <w:bCs/>
        </w:rPr>
        <w:t xml:space="preserve"> </w:t>
      </w:r>
      <w:proofErr w:type="spellStart"/>
      <w:r>
        <w:rPr>
          <w:rFonts w:eastAsia="Times New Roman"/>
          <w:b/>
          <w:bCs/>
        </w:rPr>
        <w:t>Energy</w:t>
      </w:r>
      <w:proofErr w:type="spellEnd"/>
      <w:r>
        <w:rPr>
          <w:rFonts w:eastAsia="Times New Roman"/>
          <w:b/>
          <w:bCs/>
        </w:rPr>
        <w:t xml:space="preserve"> </w:t>
      </w:r>
      <w:proofErr w:type="spellStart"/>
      <w:r>
        <w:rPr>
          <w:rFonts w:eastAsia="Times New Roman"/>
          <w:b/>
          <w:bCs/>
        </w:rPr>
        <w:t>Committee</w:t>
      </w:r>
      <w:proofErr w:type="spellEnd"/>
      <w:r>
        <w:rPr>
          <w:rFonts w:eastAsia="Times New Roman"/>
        </w:rPr>
        <w:t xml:space="preserve">. Lapkričio 1 d. įvyko pirmasis komiteto steigimo posėdis, kuriame dalyvavo EM viceministrė </w:t>
      </w:r>
      <w:proofErr w:type="spellStart"/>
      <w:r>
        <w:rPr>
          <w:rFonts w:eastAsia="Times New Roman"/>
        </w:rPr>
        <w:t>I.Žilienė</w:t>
      </w:r>
      <w:proofErr w:type="spellEnd"/>
      <w:r>
        <w:rPr>
          <w:rFonts w:eastAsia="Times New Roman"/>
        </w:rPr>
        <w:t xml:space="preserve">. Tikslas – turėti </w:t>
      </w:r>
      <w:proofErr w:type="spellStart"/>
      <w:r>
        <w:rPr>
          <w:rStyle w:val="rynqvb"/>
          <w:rFonts w:eastAsia="Times New Roman"/>
        </w:rPr>
        <w:t>Ramštein</w:t>
      </w:r>
      <w:proofErr w:type="spellEnd"/>
      <w:r>
        <w:rPr>
          <w:rStyle w:val="rynqvb"/>
          <w:rFonts w:eastAsia="Times New Roman"/>
        </w:rPr>
        <w:t xml:space="preserve"> formato atitikmenį energetikoje, </w:t>
      </w:r>
      <w:proofErr w:type="spellStart"/>
      <w:r>
        <w:rPr>
          <w:rStyle w:val="rynqvb"/>
          <w:rFonts w:eastAsia="Times New Roman"/>
        </w:rPr>
        <w:t>t.y</w:t>
      </w:r>
      <w:proofErr w:type="spellEnd"/>
      <w:r>
        <w:rPr>
          <w:rStyle w:val="rynqvb"/>
          <w:rFonts w:eastAsia="Times New Roman"/>
        </w:rPr>
        <w:t>.</w:t>
      </w:r>
      <w:r>
        <w:rPr>
          <w:rFonts w:eastAsia="Times New Roman"/>
        </w:rPr>
        <w:t xml:space="preserve"> padėti Ukrainos Vyriausybei efektyviausiai ir koordinuotai atlaikyti iškilusius energetinius iššūkius. Pagrindinės veikos sritys: </w:t>
      </w:r>
    </w:p>
    <w:p w14:paraId="2CBA53FE" w14:textId="77777777" w:rsidR="00FF1297" w:rsidRDefault="00FF1297" w:rsidP="00FF1297">
      <w:pPr>
        <w:pStyle w:val="ListParagraph"/>
        <w:numPr>
          <w:ilvl w:val="1"/>
          <w:numId w:val="4"/>
        </w:numPr>
        <w:jc w:val="both"/>
        <w:rPr>
          <w:rFonts w:eastAsia="Times New Roman"/>
        </w:rPr>
      </w:pPr>
      <w:r>
        <w:rPr>
          <w:rFonts w:eastAsia="Times New Roman"/>
        </w:rPr>
        <w:t>Energetinis saugumas ir atitinkami solidarumo veiksmai energetiniam saugumui užtikrinti</w:t>
      </w:r>
    </w:p>
    <w:p w14:paraId="03350F2B" w14:textId="77777777" w:rsidR="00FF1297" w:rsidRDefault="00FF1297" w:rsidP="00FF1297">
      <w:pPr>
        <w:pStyle w:val="ListParagraph"/>
        <w:numPr>
          <w:ilvl w:val="1"/>
          <w:numId w:val="4"/>
        </w:numPr>
        <w:jc w:val="both"/>
        <w:rPr>
          <w:rFonts w:eastAsia="Times New Roman"/>
        </w:rPr>
      </w:pPr>
      <w:r>
        <w:rPr>
          <w:rFonts w:eastAsia="Times New Roman"/>
        </w:rPr>
        <w:t>Skubus energetikos infrastruktūros remontas</w:t>
      </w:r>
    </w:p>
    <w:p w14:paraId="25939A92" w14:textId="77777777" w:rsidR="00FF1297" w:rsidRDefault="00FF1297" w:rsidP="00FF1297">
      <w:pPr>
        <w:pStyle w:val="ListParagraph"/>
        <w:numPr>
          <w:ilvl w:val="1"/>
          <w:numId w:val="4"/>
        </w:numPr>
        <w:jc w:val="both"/>
        <w:rPr>
          <w:rFonts w:eastAsia="Times New Roman"/>
        </w:rPr>
      </w:pPr>
      <w:r>
        <w:rPr>
          <w:rFonts w:eastAsia="Times New Roman"/>
        </w:rPr>
        <w:t>ypatingos svarbos energetikos infrastruktūros apsauga</w:t>
      </w:r>
    </w:p>
    <w:p w14:paraId="2A9DA47D" w14:textId="77777777" w:rsidR="00FF1297" w:rsidRDefault="00FF1297" w:rsidP="00FF1297">
      <w:pPr>
        <w:pStyle w:val="ListParagraph"/>
        <w:numPr>
          <w:ilvl w:val="1"/>
          <w:numId w:val="4"/>
        </w:numPr>
        <w:jc w:val="both"/>
        <w:rPr>
          <w:rFonts w:eastAsia="Times New Roman"/>
        </w:rPr>
      </w:pPr>
      <w:r>
        <w:rPr>
          <w:rFonts w:eastAsia="Times New Roman"/>
        </w:rPr>
        <w:t>Kuro tiekimo saugumas</w:t>
      </w:r>
    </w:p>
    <w:p w14:paraId="7CBC2AE5" w14:textId="77777777" w:rsidR="00FF1297" w:rsidRDefault="00FF1297" w:rsidP="00FF1297">
      <w:pPr>
        <w:pStyle w:val="ListParagraph"/>
        <w:numPr>
          <w:ilvl w:val="1"/>
          <w:numId w:val="4"/>
        </w:numPr>
        <w:jc w:val="both"/>
        <w:rPr>
          <w:rFonts w:eastAsia="Times New Roman"/>
        </w:rPr>
      </w:pPr>
      <w:r>
        <w:rPr>
          <w:rFonts w:eastAsia="Times New Roman"/>
        </w:rPr>
        <w:t>AE sauga ir saugumas</w:t>
      </w:r>
    </w:p>
    <w:p w14:paraId="59C68B13" w14:textId="77777777" w:rsidR="00FF1297" w:rsidRDefault="00FF1297" w:rsidP="00FF1297">
      <w:pPr>
        <w:pStyle w:val="ListParagraph"/>
        <w:numPr>
          <w:ilvl w:val="1"/>
          <w:numId w:val="4"/>
        </w:numPr>
        <w:jc w:val="both"/>
        <w:rPr>
          <w:rFonts w:eastAsia="Times New Roman"/>
        </w:rPr>
      </w:pPr>
      <w:r>
        <w:rPr>
          <w:rFonts w:eastAsia="Times New Roman"/>
        </w:rPr>
        <w:t>Naftos ir dujų tranzito ir transportavimo maršrutai</w:t>
      </w:r>
    </w:p>
    <w:p w14:paraId="30D249B8" w14:textId="77777777" w:rsidR="00FF1297" w:rsidRDefault="00FF1297" w:rsidP="00FF1297">
      <w:pPr>
        <w:pStyle w:val="ListParagraph"/>
        <w:numPr>
          <w:ilvl w:val="1"/>
          <w:numId w:val="4"/>
        </w:numPr>
        <w:jc w:val="both"/>
        <w:rPr>
          <w:rFonts w:eastAsia="Times New Roman"/>
        </w:rPr>
      </w:pPr>
      <w:r>
        <w:rPr>
          <w:rFonts w:eastAsia="Times New Roman"/>
        </w:rPr>
        <w:t>Kibernetinė sauga</w:t>
      </w:r>
    </w:p>
    <w:p w14:paraId="0E62EE50" w14:textId="77777777" w:rsidR="00FF1297" w:rsidRDefault="00FF1297" w:rsidP="00FF1297">
      <w:pPr>
        <w:pStyle w:val="ListParagraph"/>
        <w:numPr>
          <w:ilvl w:val="1"/>
          <w:numId w:val="4"/>
        </w:numPr>
        <w:jc w:val="both"/>
        <w:rPr>
          <w:rFonts w:eastAsia="Times New Roman"/>
        </w:rPr>
      </w:pPr>
      <w:r>
        <w:rPr>
          <w:rFonts w:eastAsia="Times New Roman"/>
        </w:rPr>
        <w:t>Technologijos ir naujovės</w:t>
      </w:r>
    </w:p>
    <w:p w14:paraId="045D3E12" w14:textId="77777777" w:rsidR="00FF1297" w:rsidRDefault="00FF1297" w:rsidP="00FF1297">
      <w:pPr>
        <w:pStyle w:val="ListParagraph"/>
        <w:numPr>
          <w:ilvl w:val="1"/>
          <w:numId w:val="4"/>
        </w:numPr>
        <w:jc w:val="both"/>
        <w:rPr>
          <w:rFonts w:eastAsia="Times New Roman"/>
        </w:rPr>
      </w:pPr>
      <w:r>
        <w:rPr>
          <w:rFonts w:eastAsia="Times New Roman"/>
        </w:rPr>
        <w:t>Bendradarbiavimas tarptautinėse organizacijose</w:t>
      </w:r>
    </w:p>
    <w:p w14:paraId="0822E533" w14:textId="77777777" w:rsidR="00FF1297" w:rsidRDefault="00FF1297" w:rsidP="00FF1297">
      <w:pPr>
        <w:pStyle w:val="ListParagraph"/>
        <w:jc w:val="both"/>
      </w:pPr>
    </w:p>
    <w:p w14:paraId="3DBF92E5" w14:textId="77777777" w:rsidR="00FF1297" w:rsidRDefault="00FF1297" w:rsidP="00FF1297">
      <w:pPr>
        <w:pStyle w:val="ListParagraph"/>
        <w:numPr>
          <w:ilvl w:val="0"/>
          <w:numId w:val="3"/>
        </w:numPr>
        <w:jc w:val="both"/>
        <w:rPr>
          <w:rFonts w:eastAsia="Times New Roman"/>
        </w:rPr>
      </w:pPr>
      <w:r>
        <w:rPr>
          <w:rFonts w:eastAsia="Times New Roman"/>
          <w:b/>
          <w:bCs/>
          <w:lang w:eastAsia="lt-LT"/>
        </w:rPr>
        <w:lastRenderedPageBreak/>
        <w:t>AE Ukrainoje</w:t>
      </w:r>
      <w:r>
        <w:rPr>
          <w:rFonts w:eastAsia="Times New Roman"/>
          <w:lang w:eastAsia="lt-LT"/>
        </w:rPr>
        <w:t>.</w:t>
      </w:r>
      <w:r>
        <w:rPr>
          <w:rFonts w:eastAsia="Times New Roman"/>
          <w:color w:val="1F497D"/>
          <w:lang w:eastAsia="lt-LT"/>
        </w:rPr>
        <w:t xml:space="preserve"> </w:t>
      </w:r>
      <w:r>
        <w:rPr>
          <w:rFonts w:eastAsia="Times New Roman"/>
          <w:lang w:eastAsia="lt-LT"/>
        </w:rPr>
        <w:t xml:space="preserve"> lapkričio 2 d., paskutinės dvi aukštos įtampos linijos jungianti ZAE su Ukrainos elektros sistema buvo pažeistos, todėl visiškai nutrūko elektros energijos tiekimas į stotį. 5 ir 6 blokai buvo perkelti į „šalto“ išjungimo būseną. Kuro atsargos 9 dyzeliniams generatoriams - 15 dienų. Lapkričio </w:t>
      </w:r>
      <w:r>
        <w:rPr>
          <w:rFonts w:eastAsia="Times New Roman"/>
          <w:lang w:val="en-US" w:eastAsia="lt-LT"/>
        </w:rPr>
        <w:t xml:space="preserve">4 d. </w:t>
      </w:r>
      <w:r>
        <w:rPr>
          <w:rFonts w:eastAsia="Times New Roman"/>
          <w:lang w:eastAsia="lt-LT"/>
        </w:rPr>
        <w:t>perdavimo linija pajungta.</w:t>
      </w:r>
    </w:p>
    <w:p w14:paraId="79732BF6" w14:textId="77777777" w:rsidR="00FF1297" w:rsidRDefault="00FF1297" w:rsidP="00FF1297">
      <w:pPr>
        <w:pStyle w:val="ListParagraph"/>
        <w:jc w:val="both"/>
        <w:rPr>
          <w:lang w:eastAsia="lt-LT"/>
        </w:rPr>
      </w:pPr>
      <w:r>
        <w:rPr>
          <w:lang w:eastAsia="lt-LT"/>
        </w:rPr>
        <w:t xml:space="preserve">Reguliatoriaus </w:t>
      </w:r>
      <w:hyperlink r:id="rId23" w:history="1">
        <w:r>
          <w:rPr>
            <w:rStyle w:val="Hyperlink"/>
            <w:lang w:eastAsia="lt-LT"/>
          </w:rPr>
          <w:t>prašymu</w:t>
        </w:r>
      </w:hyperlink>
      <w:r>
        <w:t xml:space="preserve"> „</w:t>
      </w:r>
      <w:proofErr w:type="spellStart"/>
      <w:r>
        <w:t>Energoatom</w:t>
      </w:r>
      <w:proofErr w:type="spellEnd"/>
      <w:r>
        <w:t xml:space="preserve">“ skubiai pradėjo </w:t>
      </w:r>
      <w:r>
        <w:rPr>
          <w:lang w:eastAsia="lt-LT"/>
        </w:rPr>
        <w:t>galimo</w:t>
      </w:r>
      <w:r>
        <w:t xml:space="preserve"> </w:t>
      </w:r>
      <w:proofErr w:type="spellStart"/>
      <w:r>
        <w:rPr>
          <w:lang w:eastAsia="lt-LT"/>
        </w:rPr>
        <w:t>Kakhovka</w:t>
      </w:r>
      <w:proofErr w:type="spellEnd"/>
      <w:r>
        <w:rPr>
          <w:lang w:eastAsia="lt-LT"/>
        </w:rPr>
        <w:t xml:space="preserve"> užtvankos susprogdinimo poveikio ZAE saugai analizę.</w:t>
      </w:r>
    </w:p>
    <w:p w14:paraId="526A753A" w14:textId="77777777" w:rsidR="00FF1297" w:rsidRDefault="00FF1297" w:rsidP="00FF1297">
      <w:pPr>
        <w:pStyle w:val="ListParagraph"/>
        <w:jc w:val="both"/>
      </w:pPr>
    </w:p>
    <w:p w14:paraId="59200B75" w14:textId="77777777" w:rsidR="00FF1297" w:rsidRDefault="00FF1297" w:rsidP="00FF1297">
      <w:pPr>
        <w:pStyle w:val="ListParagraph"/>
        <w:numPr>
          <w:ilvl w:val="0"/>
          <w:numId w:val="3"/>
        </w:numPr>
        <w:jc w:val="both"/>
        <w:rPr>
          <w:rFonts w:eastAsia="Times New Roman"/>
        </w:rPr>
      </w:pPr>
      <w:r>
        <w:rPr>
          <w:rFonts w:eastAsia="Times New Roman"/>
          <w:b/>
          <w:bCs/>
        </w:rPr>
        <w:t>Vyriausybė tęsia kainų reguliavimo politiką</w:t>
      </w:r>
      <w:r>
        <w:rPr>
          <w:rFonts w:eastAsia="Times New Roman"/>
        </w:rPr>
        <w:t xml:space="preserve">.  Ministrų kabinetas VIAP elektrai pratęsė iki </w:t>
      </w:r>
      <w:proofErr w:type="spellStart"/>
      <w:r>
        <w:rPr>
          <w:rFonts w:eastAsia="Times New Roman"/>
        </w:rPr>
        <w:t>iki</w:t>
      </w:r>
      <w:proofErr w:type="spellEnd"/>
      <w:r>
        <w:rPr>
          <w:rFonts w:eastAsia="Times New Roman"/>
        </w:rPr>
        <w:t xml:space="preserve"> šildymo sezono pabaigos, taip fiksuojant elektros energijos kainą namų ūkiams bent iki 2023 m. kovo 31 d. Vyriausybė taip pat apibrėžė dujų tiekimą už savikainą bendrovei „</w:t>
      </w:r>
      <w:proofErr w:type="spellStart"/>
      <w:r>
        <w:rPr>
          <w:rFonts w:eastAsia="Times New Roman"/>
        </w:rPr>
        <w:t>Naftogaz</w:t>
      </w:r>
      <w:proofErr w:type="spellEnd"/>
      <w:r>
        <w:rPr>
          <w:rFonts w:eastAsia="Times New Roman"/>
        </w:rPr>
        <w:t xml:space="preserve"> </w:t>
      </w:r>
      <w:proofErr w:type="spellStart"/>
      <w:r>
        <w:rPr>
          <w:rFonts w:eastAsia="Times New Roman"/>
        </w:rPr>
        <w:t>Trading</w:t>
      </w:r>
      <w:proofErr w:type="spellEnd"/>
      <w:r>
        <w:rPr>
          <w:rFonts w:eastAsia="Times New Roman"/>
        </w:rPr>
        <w:t xml:space="preserve">“, kuri yra atsakinga už dujų pirkimą iš valstybės biudžeto (12,7 mlrd. UAH gauta kaip paskola iš Kanados). Visos lėšos iš pastarųjų dujų pardavimo turi grįžti į valstybės biudžetą. </w:t>
      </w:r>
    </w:p>
    <w:p w14:paraId="3D647C18" w14:textId="01A8E408" w:rsidR="00FF1297" w:rsidRDefault="00FF1297" w:rsidP="00FF1297">
      <w:pPr>
        <w:jc w:val="both"/>
      </w:pPr>
      <w:r>
        <w:rPr>
          <w:noProof/>
          <w:lang w:eastAsia="lt-LT"/>
        </w:rPr>
        <w:drawing>
          <wp:inline distT="0" distB="0" distL="0" distR="0" wp14:anchorId="39C978D6" wp14:editId="4AB0F4B7">
            <wp:extent cx="5588000" cy="32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588000" cy="3225800"/>
                    </a:xfrm>
                    <a:prstGeom prst="rect">
                      <a:avLst/>
                    </a:prstGeom>
                    <a:noFill/>
                    <a:ln>
                      <a:noFill/>
                    </a:ln>
                  </pic:spPr>
                </pic:pic>
              </a:graphicData>
            </a:graphic>
          </wp:inline>
        </w:drawing>
      </w:r>
    </w:p>
    <w:p w14:paraId="52F97078" w14:textId="77777777" w:rsidR="00FF1297" w:rsidRDefault="00FF1297" w:rsidP="00FF1297">
      <w:pPr>
        <w:pStyle w:val="ListParagraph"/>
        <w:numPr>
          <w:ilvl w:val="0"/>
          <w:numId w:val="3"/>
        </w:numPr>
        <w:jc w:val="both"/>
        <w:rPr>
          <w:rFonts w:eastAsia="Times New Roman"/>
        </w:rPr>
      </w:pPr>
      <w:proofErr w:type="spellStart"/>
      <w:r>
        <w:rPr>
          <w:rFonts w:eastAsia="Times New Roman"/>
          <w:b/>
          <w:bCs/>
        </w:rPr>
        <w:t>J.Vitrenko</w:t>
      </w:r>
      <w:proofErr w:type="spellEnd"/>
      <w:r>
        <w:rPr>
          <w:rFonts w:eastAsia="Times New Roman"/>
          <w:b/>
          <w:bCs/>
        </w:rPr>
        <w:t xml:space="preserve"> </w:t>
      </w:r>
      <w:hyperlink r:id="rId26" w:history="1">
        <w:r>
          <w:rPr>
            <w:rStyle w:val="Hyperlink"/>
            <w:rFonts w:eastAsia="Times New Roman"/>
            <w:b/>
            <w:bCs/>
          </w:rPr>
          <w:t>atsistatydinimo</w:t>
        </w:r>
      </w:hyperlink>
      <w:r>
        <w:rPr>
          <w:rFonts w:eastAsia="Times New Roman"/>
          <w:b/>
          <w:bCs/>
        </w:rPr>
        <w:t xml:space="preserve"> iš generalinio direktoriaus pareigų, „</w:t>
      </w:r>
      <w:proofErr w:type="spellStart"/>
      <w:r>
        <w:rPr>
          <w:rFonts w:eastAsia="Times New Roman"/>
          <w:b/>
          <w:bCs/>
        </w:rPr>
        <w:t>Naftogaz</w:t>
      </w:r>
      <w:proofErr w:type="spellEnd"/>
      <w:r>
        <w:rPr>
          <w:rFonts w:eastAsia="Times New Roman"/>
          <w:b/>
          <w:bCs/>
        </w:rPr>
        <w:t>“</w:t>
      </w:r>
      <w:r>
        <w:rPr>
          <w:rFonts w:eastAsia="Times New Roman"/>
        </w:rPr>
        <w:t xml:space="preserve">. 2022 m. 1 pusmečio įmonės </w:t>
      </w:r>
      <w:hyperlink r:id="rId27" w:history="1">
        <w:r>
          <w:rPr>
            <w:rStyle w:val="Hyperlink"/>
            <w:rFonts w:eastAsia="Times New Roman"/>
          </w:rPr>
          <w:t>ataskaita</w:t>
        </w:r>
      </w:hyperlink>
      <w:r>
        <w:rPr>
          <w:rFonts w:eastAsia="Times New Roman"/>
        </w:rPr>
        <w:t xml:space="preserve"> parodė bendrovės nuostolius -  57,16 mlrd. UAH, o antrojo ketvirčio finansinis rezultatas –420 mln. UAH pelno. Įmonės finansinis planas 2022 metams numato pelną. „</w:t>
      </w:r>
      <w:proofErr w:type="spellStart"/>
      <w:r>
        <w:rPr>
          <w:rFonts w:eastAsia="Times New Roman"/>
        </w:rPr>
        <w:t>Naftogaz</w:t>
      </w:r>
      <w:proofErr w:type="spellEnd"/>
      <w:r>
        <w:rPr>
          <w:rFonts w:eastAsia="Times New Roman"/>
        </w:rPr>
        <w:t xml:space="preserve">“ toliau investuoja į bioenergetikos plėtros projektus įvairiuose Ukrainos miestuose – biomasės kogeneracinę jėgainę </w:t>
      </w:r>
      <w:proofErr w:type="spellStart"/>
      <w:r>
        <w:rPr>
          <w:rFonts w:eastAsia="Times New Roman"/>
        </w:rPr>
        <w:t>Žytomyre</w:t>
      </w:r>
      <w:proofErr w:type="spellEnd"/>
      <w:r>
        <w:rPr>
          <w:rFonts w:eastAsia="Times New Roman"/>
        </w:rPr>
        <w:t xml:space="preserve">, </w:t>
      </w:r>
      <w:proofErr w:type="spellStart"/>
      <w:r>
        <w:rPr>
          <w:rFonts w:eastAsia="Times New Roman"/>
        </w:rPr>
        <w:t>Okhtyrkoje</w:t>
      </w:r>
      <w:proofErr w:type="spellEnd"/>
      <w:r>
        <w:rPr>
          <w:rFonts w:eastAsia="Times New Roman"/>
        </w:rPr>
        <w:t xml:space="preserve">, Lvove, biodujų jėgainę Lvovo srityje. Nepaisant Nacionalinės korupcijos prevencijos agentūros pastabų, </w:t>
      </w:r>
      <w:proofErr w:type="spellStart"/>
      <w:r>
        <w:rPr>
          <w:rFonts w:eastAsia="Times New Roman"/>
        </w:rPr>
        <w:t>t.y</w:t>
      </w:r>
      <w:proofErr w:type="spellEnd"/>
      <w:r>
        <w:rPr>
          <w:rFonts w:eastAsia="Times New Roman"/>
        </w:rPr>
        <w:t xml:space="preserve">. interesų konfliktas nustatytas, lapkričio 3 d. Ministrų </w:t>
      </w:r>
      <w:hyperlink r:id="rId28" w:history="1">
        <w:r>
          <w:rPr>
            <w:rStyle w:val="Hyperlink"/>
            <w:rFonts w:eastAsia="Times New Roman"/>
          </w:rPr>
          <w:t>kabinetas</w:t>
        </w:r>
      </w:hyperlink>
      <w:r>
        <w:rPr>
          <w:rFonts w:eastAsia="Times New Roman"/>
        </w:rPr>
        <w:t xml:space="preserve"> „</w:t>
      </w:r>
      <w:proofErr w:type="spellStart"/>
      <w:r>
        <w:rPr>
          <w:rFonts w:eastAsia="Times New Roman"/>
        </w:rPr>
        <w:t>Naftogaz</w:t>
      </w:r>
      <w:proofErr w:type="spellEnd"/>
      <w:r>
        <w:rPr>
          <w:rFonts w:eastAsia="Times New Roman"/>
        </w:rPr>
        <w:t xml:space="preserve">“ generaliniu direktoriumi </w:t>
      </w:r>
      <w:hyperlink r:id="rId29" w:history="1">
        <w:r>
          <w:rPr>
            <w:rStyle w:val="Hyperlink"/>
            <w:rFonts w:eastAsia="Times New Roman"/>
          </w:rPr>
          <w:t>paskyrė</w:t>
        </w:r>
      </w:hyperlink>
      <w:r>
        <w:rPr>
          <w:rFonts w:eastAsia="Times New Roman"/>
        </w:rPr>
        <w:t xml:space="preserve"> </w:t>
      </w:r>
      <w:proofErr w:type="spellStart"/>
      <w:r>
        <w:rPr>
          <w:rFonts w:eastAsia="Times New Roman"/>
        </w:rPr>
        <w:t>Oleksij</w:t>
      </w:r>
      <w:proofErr w:type="spellEnd"/>
      <w:r>
        <w:rPr>
          <w:rFonts w:eastAsia="Times New Roman"/>
        </w:rPr>
        <w:t xml:space="preserve"> </w:t>
      </w:r>
      <w:proofErr w:type="spellStart"/>
      <w:r>
        <w:rPr>
          <w:rFonts w:eastAsia="Times New Roman"/>
        </w:rPr>
        <w:t>Černyšov</w:t>
      </w:r>
      <w:proofErr w:type="spellEnd"/>
      <w:r>
        <w:rPr>
          <w:rFonts w:eastAsia="Times New Roman"/>
        </w:rPr>
        <w:t xml:space="preserve">. Lapkričio 4 d. posėdyje Ukrainos ministras pirmininkas </w:t>
      </w:r>
      <w:proofErr w:type="spellStart"/>
      <w:r>
        <w:rPr>
          <w:rFonts w:eastAsia="Times New Roman"/>
        </w:rPr>
        <w:t>D.Shmyhal</w:t>
      </w:r>
      <w:proofErr w:type="spellEnd"/>
      <w:r>
        <w:rPr>
          <w:rFonts w:eastAsia="Times New Roman"/>
        </w:rPr>
        <w:t xml:space="preserve"> paskelbė, kad pradedama „</w:t>
      </w:r>
      <w:proofErr w:type="spellStart"/>
      <w:r>
        <w:rPr>
          <w:rFonts w:eastAsia="Times New Roman"/>
        </w:rPr>
        <w:t>Naftogaz</w:t>
      </w:r>
      <w:proofErr w:type="spellEnd"/>
      <w:r>
        <w:rPr>
          <w:rFonts w:eastAsia="Times New Roman"/>
        </w:rPr>
        <w:t xml:space="preserve">“ stebėtojų tarybos </w:t>
      </w:r>
      <w:hyperlink r:id="rId30" w:history="1">
        <w:r>
          <w:rPr>
            <w:rStyle w:val="Hyperlink"/>
            <w:rFonts w:eastAsia="Times New Roman"/>
          </w:rPr>
          <w:t>atranka</w:t>
        </w:r>
      </w:hyperlink>
      <w:r>
        <w:rPr>
          <w:rFonts w:eastAsia="Times New Roman"/>
        </w:rPr>
        <w:t>.</w:t>
      </w:r>
    </w:p>
    <w:p w14:paraId="465C9DEF" w14:textId="77777777" w:rsidR="00FF1297" w:rsidRDefault="00FF1297" w:rsidP="00FF1297">
      <w:pPr>
        <w:pStyle w:val="ListParagraph"/>
      </w:pPr>
    </w:p>
    <w:p w14:paraId="6A23BAB4" w14:textId="77777777" w:rsidR="00FF1297" w:rsidRDefault="00FF1297" w:rsidP="00FF1297">
      <w:pPr>
        <w:pStyle w:val="ListParagraph"/>
        <w:numPr>
          <w:ilvl w:val="0"/>
          <w:numId w:val="3"/>
        </w:numPr>
        <w:jc w:val="both"/>
        <w:rPr>
          <w:rFonts w:eastAsia="Times New Roman"/>
        </w:rPr>
      </w:pPr>
      <w:r>
        <w:rPr>
          <w:rFonts w:eastAsia="Times New Roman"/>
          <w:b/>
          <w:bCs/>
        </w:rPr>
        <w:t>Dujų išgavimas UA</w:t>
      </w:r>
      <w:r>
        <w:rPr>
          <w:rFonts w:eastAsia="Times New Roman"/>
        </w:rPr>
        <w:t xml:space="preserve">. </w:t>
      </w:r>
      <w:proofErr w:type="spellStart"/>
      <w:r>
        <w:rPr>
          <w:rFonts w:eastAsia="Times New Roman"/>
        </w:rPr>
        <w:t>Ukrgazvydobuvannia</w:t>
      </w:r>
      <w:proofErr w:type="spellEnd"/>
      <w:r>
        <w:rPr>
          <w:rFonts w:eastAsia="Times New Roman"/>
        </w:rPr>
        <w:t xml:space="preserve"> UAB (</w:t>
      </w:r>
      <w:proofErr w:type="spellStart"/>
      <w:r>
        <w:rPr>
          <w:rFonts w:eastAsia="Times New Roman"/>
        </w:rPr>
        <w:t>Naftogaz</w:t>
      </w:r>
      <w:proofErr w:type="spellEnd"/>
      <w:r>
        <w:rPr>
          <w:rFonts w:eastAsia="Times New Roman"/>
        </w:rPr>
        <w:t xml:space="preserve"> dukterinė įmonė ir didžiausia dujų gamintoja UA) </w:t>
      </w:r>
      <w:hyperlink r:id="rId31" w:history="1">
        <w:r>
          <w:rPr>
            <w:rStyle w:val="Hyperlink"/>
            <w:rFonts w:eastAsia="Times New Roman"/>
          </w:rPr>
          <w:t>pranešė</w:t>
        </w:r>
      </w:hyperlink>
      <w:r>
        <w:rPr>
          <w:rFonts w:eastAsia="Times New Roman"/>
        </w:rPr>
        <w:t>, kad atgavo gręžimo platformų, kurios buvo okupuotose teritorijose apie septynis mėnesius, kontrolę. Išminavus aplinkines teritorijas ir gavus valstybės leidimus Avarinės tarnybos, įmonės specialistai restauruoja gręžimo įrenginius ir su darbu susijusią įrangą. Kai kurios mašinos jau grįžo į darbą ir toliau gręžia naujus gręžinius. Vienas iš gręžinių yra bandomas.</w:t>
      </w:r>
    </w:p>
    <w:p w14:paraId="77BE8645" w14:textId="77777777" w:rsidR="00FF1297" w:rsidRDefault="00FF1297" w:rsidP="00FF1297">
      <w:pPr>
        <w:pStyle w:val="ListParagraph"/>
      </w:pPr>
    </w:p>
    <w:p w14:paraId="63320112" w14:textId="77777777" w:rsidR="00FF1297" w:rsidRDefault="00FF1297" w:rsidP="00FF1297">
      <w:pPr>
        <w:pStyle w:val="ListParagraph"/>
        <w:numPr>
          <w:ilvl w:val="0"/>
          <w:numId w:val="3"/>
        </w:numPr>
        <w:jc w:val="both"/>
        <w:rPr>
          <w:rFonts w:eastAsia="Times New Roman"/>
        </w:rPr>
      </w:pPr>
      <w:r>
        <w:rPr>
          <w:rFonts w:eastAsia="Times New Roman"/>
          <w:b/>
          <w:bCs/>
        </w:rPr>
        <w:t xml:space="preserve">Pralaidumų didinimas </w:t>
      </w:r>
      <w:proofErr w:type="spellStart"/>
      <w:r>
        <w:rPr>
          <w:rFonts w:eastAsia="Times New Roman"/>
          <w:b/>
          <w:bCs/>
        </w:rPr>
        <w:t>Budince</w:t>
      </w:r>
      <w:proofErr w:type="spellEnd"/>
      <w:r>
        <w:rPr>
          <w:rFonts w:eastAsia="Times New Roman"/>
        </w:rPr>
        <w:t xml:space="preserve">. GTSOU ir </w:t>
      </w:r>
      <w:proofErr w:type="spellStart"/>
      <w:r>
        <w:rPr>
          <w:rFonts w:eastAsia="Times New Roman"/>
        </w:rPr>
        <w:t>Eustream</w:t>
      </w:r>
      <w:proofErr w:type="spellEnd"/>
      <w:r>
        <w:rPr>
          <w:rFonts w:eastAsia="Times New Roman"/>
        </w:rPr>
        <w:t xml:space="preserve"> susitarė išplėsti esamus fizinius pajėgumus </w:t>
      </w:r>
      <w:proofErr w:type="spellStart"/>
      <w:r>
        <w:rPr>
          <w:rFonts w:eastAsia="Times New Roman"/>
        </w:rPr>
        <w:t>Budince</w:t>
      </w:r>
      <w:proofErr w:type="spellEnd"/>
      <w:r>
        <w:rPr>
          <w:rFonts w:eastAsia="Times New Roman"/>
        </w:rPr>
        <w:t xml:space="preserve"> sujungimo taške (42 mln. cm/d.) iki 2023 m. kovo 31 d. Toks žingsnis suteikia galimybių padidinti dujų importą.</w:t>
      </w:r>
    </w:p>
    <w:p w14:paraId="1060010F" w14:textId="77777777" w:rsidR="00FF1297" w:rsidRDefault="00FF1297" w:rsidP="00FF1297">
      <w:pPr>
        <w:pStyle w:val="ListParagraph"/>
      </w:pPr>
    </w:p>
    <w:p w14:paraId="4E15570B" w14:textId="77777777" w:rsidR="00FF1297" w:rsidRDefault="00FF1297" w:rsidP="00FF1297">
      <w:pPr>
        <w:pStyle w:val="ListParagraph"/>
        <w:numPr>
          <w:ilvl w:val="0"/>
          <w:numId w:val="3"/>
        </w:numPr>
        <w:jc w:val="both"/>
        <w:rPr>
          <w:rFonts w:eastAsia="Times New Roman"/>
        </w:rPr>
      </w:pPr>
      <w:r>
        <w:rPr>
          <w:rFonts w:eastAsia="Times New Roman"/>
          <w:b/>
          <w:bCs/>
        </w:rPr>
        <w:t>2023 metų valstybės biudžetas</w:t>
      </w:r>
      <w:r>
        <w:rPr>
          <w:rFonts w:eastAsia="Times New Roman"/>
        </w:rPr>
        <w:t xml:space="preserve">. Lapkričio 3 dieną </w:t>
      </w:r>
      <w:proofErr w:type="spellStart"/>
      <w:r>
        <w:rPr>
          <w:rFonts w:eastAsia="Times New Roman"/>
        </w:rPr>
        <w:t>Rada</w:t>
      </w:r>
      <w:proofErr w:type="spellEnd"/>
      <w:r>
        <w:rPr>
          <w:rFonts w:eastAsia="Times New Roman"/>
        </w:rPr>
        <w:t xml:space="preserve"> </w:t>
      </w:r>
      <w:hyperlink r:id="rId32" w:history="1">
        <w:r>
          <w:rPr>
            <w:rStyle w:val="Hyperlink"/>
            <w:rFonts w:eastAsia="Times New Roman"/>
          </w:rPr>
          <w:t>priėmė</w:t>
        </w:r>
      </w:hyperlink>
      <w:r>
        <w:rPr>
          <w:rFonts w:eastAsia="Times New Roman"/>
        </w:rPr>
        <w:t xml:space="preserve"> 2023 metų valstybės biudžeto įstatymą (Nr. 8000), kuris numato, kad numatoma valstybės skola padidės iki 6 423 mlrd. UAH (102,3 proc. prognozuojamas BVP). Visų pirma, pajamų už dujų gamybą prognozė sumažinta 23,45 mlrd. UAH; </w:t>
      </w:r>
      <w:r>
        <w:rPr>
          <w:rFonts w:eastAsia="Times New Roman"/>
        </w:rPr>
        <w:lastRenderedPageBreak/>
        <w:t>Ginkluotos agresijos pasekmių likvidavimo fondo išlaidos buvo padidintos 16 mlrd. UAH (iki 35,5 mlrd. UAH). Be to, biudžeto programa „Valstybinis fondas regioninei plėtrai“ skiria 2 mlrd. UAH.</w:t>
      </w:r>
    </w:p>
    <w:p w14:paraId="23B91C7C" w14:textId="77777777" w:rsidR="00FF1297" w:rsidRDefault="00FF1297" w:rsidP="00FF1297">
      <w:pPr>
        <w:pStyle w:val="ListParagraph"/>
      </w:pPr>
    </w:p>
    <w:p w14:paraId="0F869292" w14:textId="77777777" w:rsidR="00FF1297" w:rsidRDefault="00FF1297" w:rsidP="00FF1297">
      <w:pPr>
        <w:pStyle w:val="ListParagraph"/>
        <w:numPr>
          <w:ilvl w:val="0"/>
          <w:numId w:val="3"/>
        </w:numPr>
        <w:jc w:val="both"/>
        <w:rPr>
          <w:rFonts w:eastAsia="Times New Roman"/>
        </w:rPr>
      </w:pPr>
      <w:r>
        <w:rPr>
          <w:rFonts w:eastAsia="Times New Roman"/>
          <w:b/>
          <w:bCs/>
        </w:rPr>
        <w:t>Iniciatyvos</w:t>
      </w:r>
      <w:r>
        <w:rPr>
          <w:rFonts w:eastAsia="Times New Roman"/>
        </w:rPr>
        <w:t xml:space="preserve">. </w:t>
      </w:r>
      <w:proofErr w:type="spellStart"/>
      <w:r>
        <w:rPr>
          <w:rFonts w:eastAsia="Times New Roman"/>
        </w:rPr>
        <w:t>Rados</w:t>
      </w:r>
      <w:proofErr w:type="spellEnd"/>
      <w:r>
        <w:rPr>
          <w:rFonts w:eastAsia="Times New Roman"/>
        </w:rPr>
        <w:t xml:space="preserve"> finansų, mokesčių ir muitų politikos komiteto pirmininkas </w:t>
      </w:r>
      <w:proofErr w:type="spellStart"/>
      <w:r>
        <w:rPr>
          <w:rFonts w:eastAsia="Times New Roman"/>
        </w:rPr>
        <w:t>D.Hetmantsev</w:t>
      </w:r>
      <w:proofErr w:type="spellEnd"/>
      <w:r>
        <w:rPr>
          <w:rFonts w:eastAsia="Times New Roman"/>
        </w:rPr>
        <w:t xml:space="preserve"> </w:t>
      </w:r>
      <w:hyperlink r:id="rId33" w:history="1">
        <w:r>
          <w:rPr>
            <w:rStyle w:val="Hyperlink"/>
            <w:rFonts w:eastAsia="Times New Roman"/>
          </w:rPr>
          <w:t>paskelbė</w:t>
        </w:r>
      </w:hyperlink>
      <w:r>
        <w:rPr>
          <w:rFonts w:eastAsia="Times New Roman"/>
        </w:rPr>
        <w:t xml:space="preserve"> apie įstatymų paketą pramonės įmonėms. Jame būtų numatytas atleidimas nuo importo PVM perkant elektros generatorius savo reikmėms, be teisės perparduoti. Tikimasi, kad pramonės šakos bus atleistos nuo aplinkosaugos mokesčio ir tam tikrų vietinių mokesčių.</w:t>
      </w:r>
    </w:p>
    <w:p w14:paraId="38B1B67E" w14:textId="77777777" w:rsidR="00FF1297" w:rsidRDefault="00FF1297" w:rsidP="00FF1297">
      <w:pPr>
        <w:pStyle w:val="ListParagraph"/>
      </w:pPr>
    </w:p>
    <w:p w14:paraId="14B2D63E" w14:textId="77777777" w:rsidR="00FF1297" w:rsidRDefault="00FF1297" w:rsidP="00FF1297">
      <w:pPr>
        <w:pStyle w:val="ListParagraph"/>
        <w:numPr>
          <w:ilvl w:val="0"/>
          <w:numId w:val="3"/>
        </w:numPr>
        <w:jc w:val="both"/>
        <w:rPr>
          <w:rFonts w:eastAsia="Times New Roman"/>
        </w:rPr>
      </w:pPr>
      <w:r>
        <w:rPr>
          <w:rFonts w:eastAsia="Times New Roman"/>
          <w:b/>
          <w:bCs/>
        </w:rPr>
        <w:t>Šildymo sezonas</w:t>
      </w:r>
      <w:r>
        <w:rPr>
          <w:rFonts w:eastAsia="Times New Roman"/>
        </w:rPr>
        <w:t xml:space="preserve">. Informuojami gyventojai apie šildymo sezono metu galinčias kilti rizikas (prašoma pasirūpinti būtina įranga, vandens atsargomis, šiltais drabužiai ir pan.), ruošiami šilumos punktai. </w:t>
      </w:r>
      <w:proofErr w:type="spellStart"/>
      <w:r>
        <w:rPr>
          <w:rFonts w:eastAsia="Times New Roman"/>
        </w:rPr>
        <w:t>D.Shmyhal</w:t>
      </w:r>
      <w:proofErr w:type="spellEnd"/>
      <w:r>
        <w:rPr>
          <w:rFonts w:eastAsia="Times New Roman"/>
        </w:rPr>
        <w:t xml:space="preserve"> atkreipė  dėmesį, kad Vyriausybė laiko civilių evakuaciją nepaprastosios padėties atveju kaip žingsnį, kurį reikia panaudoti paskutinį. Stacionarių ir mobilių šilumos punktų įrengimu rūpinsis „</w:t>
      </w:r>
      <w:proofErr w:type="spellStart"/>
      <w:r>
        <w:rPr>
          <w:rFonts w:eastAsia="Times New Roman"/>
        </w:rPr>
        <w:t>Ukrzaliznica</w:t>
      </w:r>
      <w:proofErr w:type="spellEnd"/>
      <w:r>
        <w:rPr>
          <w:rFonts w:eastAsia="Times New Roman"/>
        </w:rPr>
        <w:t>“, valstybės pagalbos tarnyba, taip pat karinės administracijos. Prie karo zonos esantys gyventojai malkomis bus aprūpinti nemokamai. Valstybinė energetikos efektyvumo agentūra kartu su ekspertų tarybos nariais sukūrė Praktines rekomendacijas 2022-2023 metų šildymo sezonui.</w:t>
      </w:r>
    </w:p>
    <w:p w14:paraId="2BD1D387" w14:textId="77777777" w:rsidR="00FF1297" w:rsidRDefault="00FF1297" w:rsidP="00FF1297">
      <w:pPr>
        <w:pStyle w:val="ListParagraph"/>
        <w:jc w:val="both"/>
      </w:pPr>
      <w:r>
        <w:t xml:space="preserve">Charkovo srities karinės administracijos vadovas </w:t>
      </w:r>
      <w:proofErr w:type="spellStart"/>
      <w:r>
        <w:t>O.Syniehubov</w:t>
      </w:r>
      <w:proofErr w:type="spellEnd"/>
      <w:r>
        <w:t xml:space="preserve"> </w:t>
      </w:r>
      <w:hyperlink r:id="rId34" w:history="1">
        <w:r>
          <w:rPr>
            <w:rStyle w:val="Hyperlink"/>
          </w:rPr>
          <w:t>sakė</w:t>
        </w:r>
      </w:hyperlink>
      <w:r>
        <w:t xml:space="preserve">, kad išlaisvintas </w:t>
      </w:r>
      <w:proofErr w:type="spellStart"/>
      <w:r>
        <w:t>Vovčansko</w:t>
      </w:r>
      <w:proofErr w:type="spellEnd"/>
      <w:r>
        <w:t xml:space="preserve"> miestas yra be dujų tiekimo, todėl daugiaaukščių namų kvartalams centralizuoto šildymo nebus. Gyventojams patarta evakuotis. Regione nustatyta daugiau nei 420 vietų stacionariems šilumos punktams įrengti.</w:t>
      </w:r>
    </w:p>
    <w:p w14:paraId="2BACB511" w14:textId="77777777" w:rsidR="00FF1297" w:rsidRDefault="00FF1297" w:rsidP="00FF1297">
      <w:pPr>
        <w:pStyle w:val="ListParagraph"/>
        <w:jc w:val="both"/>
      </w:pPr>
      <w:r>
        <w:t>Ministras pirmininkas pranešė, kad šiuo metu beveik pusė objektų visoje UA yra prijungta prie šilumos sistemos: tai mokyklos, vaikų darželiai, ligoninės, gyvenamieji pastatai. Kijeve šiuo metu šildymas veikia 78% pastatų.</w:t>
      </w:r>
    </w:p>
    <w:p w14:paraId="1BAB0A8B" w14:textId="77777777" w:rsidR="00FF1297" w:rsidRDefault="00FF1297" w:rsidP="00FF1297">
      <w:pPr>
        <w:pStyle w:val="ListParagraph"/>
      </w:pPr>
    </w:p>
    <w:p w14:paraId="0BC04746" w14:textId="77777777" w:rsidR="00FF1297" w:rsidRDefault="00FF1297" w:rsidP="00FF1297">
      <w:pPr>
        <w:pStyle w:val="ListParagraph"/>
        <w:numPr>
          <w:ilvl w:val="0"/>
          <w:numId w:val="3"/>
        </w:numPr>
        <w:jc w:val="both"/>
        <w:rPr>
          <w:rFonts w:eastAsia="Times New Roman"/>
        </w:rPr>
      </w:pPr>
      <w:r>
        <w:rPr>
          <w:rFonts w:eastAsia="Times New Roman"/>
          <w:b/>
          <w:bCs/>
        </w:rPr>
        <w:t xml:space="preserve">Saulės elektrinės okupuotose </w:t>
      </w:r>
      <w:proofErr w:type="spellStart"/>
      <w:r>
        <w:rPr>
          <w:rFonts w:eastAsia="Times New Roman"/>
          <w:b/>
          <w:bCs/>
        </w:rPr>
        <w:t>Chersono</w:t>
      </w:r>
      <w:proofErr w:type="spellEnd"/>
      <w:r>
        <w:rPr>
          <w:rFonts w:eastAsia="Times New Roman"/>
          <w:b/>
          <w:bCs/>
        </w:rPr>
        <w:t xml:space="preserve"> srities teritorijose</w:t>
      </w:r>
      <w:r>
        <w:rPr>
          <w:rFonts w:eastAsia="Times New Roman"/>
        </w:rPr>
        <w:t xml:space="preserve">. Rusijos kariuomenė </w:t>
      </w:r>
      <w:hyperlink r:id="rId35" w:history="1">
        <w:r>
          <w:rPr>
            <w:rStyle w:val="Hyperlink"/>
            <w:rFonts w:eastAsia="Times New Roman"/>
          </w:rPr>
          <w:t>paskelbė</w:t>
        </w:r>
      </w:hyperlink>
      <w:r>
        <w:rPr>
          <w:rFonts w:eastAsia="Times New Roman"/>
        </w:rPr>
        <w:t xml:space="preserve"> „saulės energijos įrenginių auditą“. Pagal RU reikalavimus, įrenginių savininkams nepasirodžius per nurodytą laiką ir nesugebėjus įrodyti savo nuosavybės teisių, turtas bus „nacionalizuotas“ ir perduotas okupantų sukurtai įmonei (GUP </w:t>
      </w:r>
      <w:proofErr w:type="spellStart"/>
      <w:r>
        <w:rPr>
          <w:rFonts w:eastAsia="Times New Roman"/>
        </w:rPr>
        <w:t>Khersonoblenergo</w:t>
      </w:r>
      <w:proofErr w:type="spellEnd"/>
      <w:r>
        <w:rPr>
          <w:rFonts w:eastAsia="Times New Roman"/>
        </w:rPr>
        <w:t>). Po to turtas planuojamas išvežti į RU teritoriją.</w:t>
      </w:r>
    </w:p>
    <w:p w14:paraId="6A7AF48F" w14:textId="77777777" w:rsidR="00FF1297" w:rsidRDefault="00FF1297" w:rsidP="00FF1297">
      <w:pPr>
        <w:pStyle w:val="ListParagraph"/>
      </w:pPr>
    </w:p>
    <w:p w14:paraId="0A0511A1" w14:textId="77777777" w:rsidR="00FF1297" w:rsidRDefault="00FF1297" w:rsidP="00FF1297">
      <w:pPr>
        <w:pStyle w:val="ListParagraph"/>
        <w:numPr>
          <w:ilvl w:val="0"/>
          <w:numId w:val="3"/>
        </w:numPr>
        <w:jc w:val="both"/>
        <w:rPr>
          <w:rFonts w:eastAsia="Times New Roman"/>
        </w:rPr>
      </w:pPr>
      <w:proofErr w:type="spellStart"/>
      <w:r>
        <w:rPr>
          <w:rFonts w:eastAsia="Times New Roman"/>
          <w:b/>
          <w:bCs/>
        </w:rPr>
        <w:t>Propoganda</w:t>
      </w:r>
      <w:proofErr w:type="spellEnd"/>
      <w:r>
        <w:rPr>
          <w:rFonts w:eastAsia="Times New Roman"/>
        </w:rPr>
        <w:t>. RU viešojoje erdvėje dažniausiai naudoja šiuos teiginius apie elektros tiekimo sutrikimus UA:</w:t>
      </w:r>
    </w:p>
    <w:p w14:paraId="7F8214BE" w14:textId="77777777" w:rsidR="00FF1297" w:rsidRDefault="00FF1297" w:rsidP="00FF1297">
      <w:pPr>
        <w:pStyle w:val="ListParagraph"/>
        <w:numPr>
          <w:ilvl w:val="1"/>
          <w:numId w:val="5"/>
        </w:numPr>
        <w:jc w:val="both"/>
        <w:rPr>
          <w:rFonts w:eastAsia="Times New Roman"/>
        </w:rPr>
      </w:pPr>
      <w:r>
        <w:rPr>
          <w:rFonts w:eastAsia="Times New Roman"/>
        </w:rPr>
        <w:t>Elektros tiekimo sutrikimai prasidėjo spalį dėl valstybės ir energetikos įmonių sąmokslo;</w:t>
      </w:r>
    </w:p>
    <w:p w14:paraId="3C62B343" w14:textId="77777777" w:rsidR="00FF1297" w:rsidRDefault="00FF1297" w:rsidP="00FF1297">
      <w:pPr>
        <w:pStyle w:val="ListParagraph"/>
        <w:numPr>
          <w:ilvl w:val="1"/>
          <w:numId w:val="5"/>
        </w:numPr>
        <w:jc w:val="both"/>
        <w:rPr>
          <w:rFonts w:eastAsia="Times New Roman"/>
        </w:rPr>
      </w:pPr>
      <w:r>
        <w:rPr>
          <w:rFonts w:eastAsia="Times New Roman"/>
        </w:rPr>
        <w:t>Elektros užtenka, bet ji parduodama užsienyje;</w:t>
      </w:r>
    </w:p>
    <w:p w14:paraId="3183DD18" w14:textId="77777777" w:rsidR="00FF1297" w:rsidRDefault="00FF1297" w:rsidP="00FF1297">
      <w:pPr>
        <w:pStyle w:val="ListParagraph"/>
        <w:numPr>
          <w:ilvl w:val="1"/>
          <w:numId w:val="5"/>
        </w:numPr>
        <w:jc w:val="both"/>
        <w:rPr>
          <w:rFonts w:eastAsia="Times New Roman"/>
        </w:rPr>
      </w:pPr>
      <w:r>
        <w:rPr>
          <w:rFonts w:eastAsia="Times New Roman"/>
        </w:rPr>
        <w:t>Nėra prasmės taupyti elektrą ir pinigus;</w:t>
      </w:r>
    </w:p>
    <w:p w14:paraId="2AC5ADB3" w14:textId="77777777" w:rsidR="00FF1297" w:rsidRDefault="00FF1297" w:rsidP="00FF1297">
      <w:pPr>
        <w:pStyle w:val="ListParagraph"/>
        <w:numPr>
          <w:ilvl w:val="1"/>
          <w:numId w:val="5"/>
        </w:numPr>
        <w:jc w:val="both"/>
        <w:rPr>
          <w:rFonts w:eastAsia="Times New Roman"/>
        </w:rPr>
      </w:pPr>
      <w:r>
        <w:rPr>
          <w:rFonts w:eastAsia="Times New Roman"/>
        </w:rPr>
        <w:t>Valdantieji slepia tiesą apie infrastruktūros sunaikinimą;</w:t>
      </w:r>
    </w:p>
    <w:p w14:paraId="7CA5668B" w14:textId="77777777" w:rsidR="00FF1297" w:rsidRDefault="00FF1297" w:rsidP="00FF1297">
      <w:pPr>
        <w:pStyle w:val="ListParagraph"/>
        <w:numPr>
          <w:ilvl w:val="1"/>
          <w:numId w:val="5"/>
        </w:numPr>
        <w:jc w:val="both"/>
        <w:rPr>
          <w:rFonts w:eastAsia="Times New Roman"/>
        </w:rPr>
      </w:pPr>
      <w:r>
        <w:rPr>
          <w:rFonts w:eastAsia="Times New Roman"/>
        </w:rPr>
        <w:t>Nieko nedaroma, kad atstatytų energetinę sistemą.</w:t>
      </w:r>
    </w:p>
    <w:p w14:paraId="705BDD60" w14:textId="77777777" w:rsidR="00FF1297" w:rsidRDefault="00FF1297" w:rsidP="00FF1297">
      <w:pPr>
        <w:pStyle w:val="ListParagraph"/>
        <w:jc w:val="both"/>
      </w:pPr>
    </w:p>
    <w:p w14:paraId="0F48A7E2" w14:textId="77777777" w:rsidR="00FF1297" w:rsidRDefault="00FF1297" w:rsidP="00FF1297">
      <w:pPr>
        <w:pStyle w:val="ListParagraph"/>
        <w:numPr>
          <w:ilvl w:val="0"/>
          <w:numId w:val="3"/>
        </w:numPr>
        <w:jc w:val="both"/>
        <w:rPr>
          <w:rFonts w:eastAsia="Times New Roman"/>
        </w:rPr>
      </w:pPr>
      <w:r>
        <w:rPr>
          <w:rFonts w:eastAsia="Times New Roman"/>
          <w:b/>
          <w:bCs/>
        </w:rPr>
        <w:t>Rengiami kritinės infrastruktūros objektų sąrašai</w:t>
      </w:r>
      <w:r>
        <w:rPr>
          <w:rFonts w:eastAsia="Times New Roman"/>
        </w:rPr>
        <w:t xml:space="preserve">. </w:t>
      </w:r>
      <w:proofErr w:type="spellStart"/>
      <w:r>
        <w:rPr>
          <w:rFonts w:eastAsia="Times New Roman"/>
        </w:rPr>
        <w:t>Zelenskis</w:t>
      </w:r>
      <w:proofErr w:type="spellEnd"/>
      <w:r>
        <w:rPr>
          <w:rFonts w:eastAsia="Times New Roman"/>
        </w:rPr>
        <w:t xml:space="preserve"> pasirašė </w:t>
      </w:r>
      <w:hyperlink r:id="rId36" w:history="1">
        <w:r>
          <w:rPr>
            <w:rStyle w:val="Hyperlink"/>
            <w:rFonts w:eastAsia="Times New Roman"/>
          </w:rPr>
          <w:t>įstatymą</w:t>
        </w:r>
      </w:hyperlink>
      <w:r>
        <w:rPr>
          <w:rFonts w:eastAsia="Times New Roman"/>
        </w:rPr>
        <w:t xml:space="preserve">, pagal kurį Valstybinė specialiųjų ryšių ir informacijos apsaugos tarnyba atliks įgaliotos institucijos funkcijas ypatingos svarbos infrastruktūros objektų apsaugai užtikrinti. Pasak tarnybos vadovo </w:t>
      </w:r>
      <w:proofErr w:type="spellStart"/>
      <w:r>
        <w:rPr>
          <w:rFonts w:eastAsia="Times New Roman"/>
        </w:rPr>
        <w:t>Yuriy</w:t>
      </w:r>
      <w:proofErr w:type="spellEnd"/>
      <w:r>
        <w:rPr>
          <w:rFonts w:eastAsia="Times New Roman"/>
        </w:rPr>
        <w:t xml:space="preserve"> </w:t>
      </w:r>
      <w:proofErr w:type="spellStart"/>
      <w:r>
        <w:rPr>
          <w:rFonts w:eastAsia="Times New Roman"/>
        </w:rPr>
        <w:t>Shchygol</w:t>
      </w:r>
      <w:proofErr w:type="spellEnd"/>
      <w:r>
        <w:rPr>
          <w:rFonts w:eastAsia="Times New Roman"/>
        </w:rPr>
        <w:t>, šiuo metu formuojami kritinės infrastruktūros objektų sąrašai. Svarbiausios informacinės infrastruktūros objektų sąrašas taip pat bus formuojamas.</w:t>
      </w:r>
    </w:p>
    <w:p w14:paraId="715D5441" w14:textId="77777777" w:rsidR="00FF1297" w:rsidRDefault="00FF1297" w:rsidP="00FF1297">
      <w:pPr>
        <w:pStyle w:val="ListParagraph"/>
        <w:jc w:val="both"/>
      </w:pPr>
    </w:p>
    <w:p w14:paraId="24762293" w14:textId="77777777" w:rsidR="00FF1297" w:rsidRDefault="00FF1297" w:rsidP="00FF1297">
      <w:pPr>
        <w:pStyle w:val="ListParagraph"/>
        <w:numPr>
          <w:ilvl w:val="0"/>
          <w:numId w:val="3"/>
        </w:numPr>
        <w:jc w:val="both"/>
        <w:rPr>
          <w:rFonts w:eastAsia="Times New Roman"/>
        </w:rPr>
      </w:pPr>
      <w:r>
        <w:rPr>
          <w:rFonts w:eastAsia="Times New Roman"/>
          <w:b/>
          <w:bCs/>
        </w:rPr>
        <w:t>UA oligarchams priklausančios strategiškai svarbios įmonės tapo valstybės nuosavybe</w:t>
      </w:r>
      <w:r>
        <w:rPr>
          <w:rFonts w:eastAsia="Times New Roman"/>
        </w:rPr>
        <w:t>. Nacionalinė vertybinių popierių komisija priėmė sprendimą dėl priverstinio „</w:t>
      </w:r>
      <w:proofErr w:type="spellStart"/>
      <w:r>
        <w:rPr>
          <w:rFonts w:eastAsia="Times New Roman"/>
        </w:rPr>
        <w:t>Ukrnafta</w:t>
      </w:r>
      <w:proofErr w:type="spellEnd"/>
      <w:r>
        <w:rPr>
          <w:rFonts w:eastAsia="Times New Roman"/>
        </w:rPr>
        <w:t>“, „</w:t>
      </w:r>
      <w:proofErr w:type="spellStart"/>
      <w:r>
        <w:rPr>
          <w:rFonts w:eastAsia="Times New Roman"/>
        </w:rPr>
        <w:t>Ukrtatnafta</w:t>
      </w:r>
      <w:proofErr w:type="spellEnd"/>
      <w:r>
        <w:rPr>
          <w:rFonts w:eastAsia="Times New Roman"/>
        </w:rPr>
        <w:t>“, „</w:t>
      </w:r>
      <w:proofErr w:type="spellStart"/>
      <w:r>
        <w:rPr>
          <w:rFonts w:eastAsia="Times New Roman"/>
        </w:rPr>
        <w:t>Motor</w:t>
      </w:r>
      <w:proofErr w:type="spellEnd"/>
      <w:r>
        <w:rPr>
          <w:rFonts w:eastAsia="Times New Roman"/>
        </w:rPr>
        <w:t xml:space="preserve"> </w:t>
      </w:r>
      <w:proofErr w:type="spellStart"/>
      <w:r>
        <w:rPr>
          <w:rFonts w:eastAsia="Times New Roman"/>
        </w:rPr>
        <w:t>Sich</w:t>
      </w:r>
      <w:proofErr w:type="spellEnd"/>
      <w:r>
        <w:rPr>
          <w:rFonts w:eastAsia="Times New Roman"/>
        </w:rPr>
        <w:t>“, „</w:t>
      </w:r>
      <w:proofErr w:type="spellStart"/>
      <w:r>
        <w:rPr>
          <w:rFonts w:eastAsia="Times New Roman"/>
        </w:rPr>
        <w:t>AvtoKrAZ</w:t>
      </w:r>
      <w:proofErr w:type="spellEnd"/>
      <w:r>
        <w:rPr>
          <w:rFonts w:eastAsia="Times New Roman"/>
        </w:rPr>
        <w:t>“ ir „</w:t>
      </w:r>
      <w:proofErr w:type="spellStart"/>
      <w:r>
        <w:rPr>
          <w:rFonts w:eastAsia="Times New Roman"/>
        </w:rPr>
        <w:t>Zaporizhtransformator</w:t>
      </w:r>
      <w:proofErr w:type="spellEnd"/>
      <w:r>
        <w:rPr>
          <w:rFonts w:eastAsia="Times New Roman"/>
        </w:rPr>
        <w:t xml:space="preserve">“ akcijų perleidimo valstybės nuosavybėn. </w:t>
      </w:r>
      <w:proofErr w:type="spellStart"/>
      <w:r>
        <w:rPr>
          <w:rFonts w:eastAsia="Times New Roman"/>
        </w:rPr>
        <w:t>Kolomoiskio</w:t>
      </w:r>
      <w:proofErr w:type="spellEnd"/>
      <w:r>
        <w:rPr>
          <w:rFonts w:eastAsia="Times New Roman"/>
        </w:rPr>
        <w:t xml:space="preserve"> įmonėms priklauso apie 42% „</w:t>
      </w:r>
      <w:proofErr w:type="spellStart"/>
      <w:r>
        <w:rPr>
          <w:rFonts w:eastAsia="Times New Roman"/>
        </w:rPr>
        <w:t>Ukrnaftos</w:t>
      </w:r>
      <w:proofErr w:type="spellEnd"/>
      <w:r>
        <w:rPr>
          <w:rFonts w:eastAsia="Times New Roman"/>
        </w:rPr>
        <w:t xml:space="preserve">“ akcijų. Dniepropetrovsko oligarchas ir jo partneris </w:t>
      </w:r>
      <w:proofErr w:type="spellStart"/>
      <w:r>
        <w:rPr>
          <w:rFonts w:eastAsia="Times New Roman"/>
        </w:rPr>
        <w:t>Genadij</w:t>
      </w:r>
      <w:proofErr w:type="spellEnd"/>
      <w:r>
        <w:rPr>
          <w:rFonts w:eastAsia="Times New Roman"/>
        </w:rPr>
        <w:t xml:space="preserve"> </w:t>
      </w:r>
      <w:proofErr w:type="spellStart"/>
      <w:r>
        <w:rPr>
          <w:rFonts w:eastAsia="Times New Roman"/>
        </w:rPr>
        <w:t>Bogolyubov</w:t>
      </w:r>
      <w:proofErr w:type="spellEnd"/>
      <w:r>
        <w:rPr>
          <w:rFonts w:eastAsia="Times New Roman"/>
        </w:rPr>
        <w:t xml:space="preserve"> valdo apie 60% „</w:t>
      </w:r>
      <w:proofErr w:type="spellStart"/>
      <w:r>
        <w:rPr>
          <w:rFonts w:eastAsia="Times New Roman"/>
        </w:rPr>
        <w:t>Ukrtatnafta</w:t>
      </w:r>
      <w:proofErr w:type="spellEnd"/>
      <w:r>
        <w:rPr>
          <w:rFonts w:eastAsia="Times New Roman"/>
        </w:rPr>
        <w:t>“ akcijų. „</w:t>
      </w:r>
      <w:proofErr w:type="spellStart"/>
      <w:r>
        <w:rPr>
          <w:rFonts w:eastAsia="Times New Roman"/>
        </w:rPr>
        <w:t>Motor</w:t>
      </w:r>
      <w:proofErr w:type="spellEnd"/>
      <w:r>
        <w:rPr>
          <w:rFonts w:eastAsia="Times New Roman"/>
        </w:rPr>
        <w:t xml:space="preserve"> </w:t>
      </w:r>
      <w:proofErr w:type="spellStart"/>
      <w:r>
        <w:rPr>
          <w:rFonts w:eastAsia="Times New Roman"/>
        </w:rPr>
        <w:t>Sich</w:t>
      </w:r>
      <w:proofErr w:type="spellEnd"/>
      <w:r>
        <w:rPr>
          <w:rFonts w:eastAsia="Times New Roman"/>
        </w:rPr>
        <w:t xml:space="preserve">“ priklausė Viačeslav </w:t>
      </w:r>
      <w:proofErr w:type="spellStart"/>
      <w:r>
        <w:rPr>
          <w:rFonts w:eastAsia="Times New Roman"/>
        </w:rPr>
        <w:t>Boguslav</w:t>
      </w:r>
      <w:proofErr w:type="spellEnd"/>
      <w:r>
        <w:rPr>
          <w:rFonts w:eastAsia="Times New Roman"/>
        </w:rPr>
        <w:t>, kuris 2017 m. pardavė 56% bendrovės akcijų Kinijos holdingui. „</w:t>
      </w:r>
      <w:proofErr w:type="spellStart"/>
      <w:r>
        <w:rPr>
          <w:rFonts w:eastAsia="Times New Roman"/>
        </w:rPr>
        <w:t>AvtoKrAZ</w:t>
      </w:r>
      <w:proofErr w:type="spellEnd"/>
      <w:r>
        <w:rPr>
          <w:rFonts w:eastAsia="Times New Roman"/>
        </w:rPr>
        <w:t xml:space="preserve">“ priklauso finansų ir kredito grupei, priklausančiai pabėgusiam oligarchui </w:t>
      </w:r>
      <w:proofErr w:type="spellStart"/>
      <w:r>
        <w:rPr>
          <w:rFonts w:eastAsia="Times New Roman"/>
        </w:rPr>
        <w:t>Konstantin</w:t>
      </w:r>
      <w:proofErr w:type="spellEnd"/>
      <w:r>
        <w:rPr>
          <w:rFonts w:eastAsia="Times New Roman"/>
        </w:rPr>
        <w:t xml:space="preserve"> </w:t>
      </w:r>
      <w:proofErr w:type="spellStart"/>
      <w:r>
        <w:rPr>
          <w:rFonts w:eastAsia="Times New Roman"/>
        </w:rPr>
        <w:t>Zhevago</w:t>
      </w:r>
      <w:proofErr w:type="spellEnd"/>
      <w:r>
        <w:rPr>
          <w:rFonts w:eastAsia="Times New Roman"/>
        </w:rPr>
        <w:t xml:space="preserve">. Nacionalinio saugumo tarybos sekretorius </w:t>
      </w:r>
      <w:proofErr w:type="spellStart"/>
      <w:r>
        <w:rPr>
          <w:rFonts w:eastAsia="Times New Roman"/>
        </w:rPr>
        <w:t>O.Danilov</w:t>
      </w:r>
      <w:proofErr w:type="spellEnd"/>
      <w:r>
        <w:rPr>
          <w:rFonts w:eastAsia="Times New Roman"/>
        </w:rPr>
        <w:t xml:space="preserve"> patvirtino, kad įmonių turtas buvo perduotas Gynybos ministerijai. Pasibaigus karinei padėčiai, šios įmonės gali būti grąžintos savininkams arba jų savininkams gali būti atlyginta.</w:t>
      </w:r>
    </w:p>
    <w:p w14:paraId="631916AD" w14:textId="77777777" w:rsidR="00FF1297" w:rsidRDefault="00FF1297" w:rsidP="00FF1297">
      <w:pPr>
        <w:jc w:val="both"/>
      </w:pPr>
    </w:p>
    <w:p w14:paraId="62095809" w14:textId="77777777" w:rsidR="00AC03CD" w:rsidRDefault="00AC03CD"/>
    <w:sectPr w:rsidR="00AC03CD" w:rsidSect="00F2277A">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1A40"/>
    <w:multiLevelType w:val="hybridMultilevel"/>
    <w:tmpl w:val="EE548FB8"/>
    <w:lvl w:ilvl="0" w:tplc="6A4A1460">
      <w:start w:val="1"/>
      <w:numFmt w:val="bullet"/>
      <w:lvlText w:val=""/>
      <w:lvlJc w:val="left"/>
      <w:pPr>
        <w:ind w:left="720" w:hanging="360"/>
      </w:pPr>
      <w:rPr>
        <w:rFonts w:ascii="Wingdings" w:hAnsi="Wingdings" w:hint="default"/>
        <w:color w:val="00000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5B09447C"/>
    <w:multiLevelType w:val="hybridMultilevel"/>
    <w:tmpl w:val="DAAED5E4"/>
    <w:lvl w:ilvl="0" w:tplc="6A4A1460">
      <w:start w:val="1"/>
      <w:numFmt w:val="bullet"/>
      <w:lvlText w:val=""/>
      <w:lvlJc w:val="left"/>
      <w:pPr>
        <w:ind w:left="720" w:hanging="360"/>
      </w:pPr>
      <w:rPr>
        <w:rFonts w:ascii="Wingdings" w:hAnsi="Wingdings" w:hint="default"/>
        <w:color w:val="00000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6185724C"/>
    <w:multiLevelType w:val="hybridMultilevel"/>
    <w:tmpl w:val="2BEECEAA"/>
    <w:lvl w:ilvl="0" w:tplc="6A4A1460">
      <w:start w:val="1"/>
      <w:numFmt w:val="bullet"/>
      <w:lvlText w:val=""/>
      <w:lvlJc w:val="left"/>
      <w:pPr>
        <w:ind w:left="720" w:hanging="360"/>
      </w:pPr>
      <w:rPr>
        <w:rFonts w:ascii="Wingdings" w:hAnsi="Wingdings" w:hint="default"/>
        <w:color w:val="000000"/>
      </w:rPr>
    </w:lvl>
    <w:lvl w:ilvl="1" w:tplc="5F328532">
      <w:numFmt w:val="bullet"/>
      <w:lvlText w:val="-"/>
      <w:lvlJc w:val="left"/>
      <w:pPr>
        <w:ind w:left="1440" w:hanging="360"/>
      </w:pPr>
      <w:rPr>
        <w:rFonts w:ascii="Calibri" w:eastAsia="Calibri" w:hAnsi="Calibri" w:cs="Calibri"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6B893CDC"/>
    <w:multiLevelType w:val="hybridMultilevel"/>
    <w:tmpl w:val="F7340936"/>
    <w:lvl w:ilvl="0" w:tplc="6A4A1460">
      <w:start w:val="1"/>
      <w:numFmt w:val="bullet"/>
      <w:lvlText w:val=""/>
      <w:lvlJc w:val="left"/>
      <w:pPr>
        <w:ind w:left="720" w:hanging="360"/>
      </w:pPr>
      <w:rPr>
        <w:rFonts w:ascii="Wingdings" w:hAnsi="Wingdings" w:hint="default"/>
        <w:color w:val="000000"/>
      </w:rPr>
    </w:lvl>
    <w:lvl w:ilvl="1" w:tplc="5F328532">
      <w:numFmt w:val="bullet"/>
      <w:lvlText w:val="-"/>
      <w:lvlJc w:val="left"/>
      <w:pPr>
        <w:ind w:left="1440" w:hanging="360"/>
      </w:pPr>
      <w:rPr>
        <w:rFonts w:ascii="Calibri" w:eastAsia="Calibri" w:hAnsi="Calibri" w:cs="Calibri"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7B204040"/>
    <w:multiLevelType w:val="hybridMultilevel"/>
    <w:tmpl w:val="44FA8760"/>
    <w:lvl w:ilvl="0" w:tplc="5F32853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251042910">
    <w:abstractNumId w:val="4"/>
    <w:lvlOverride w:ilvl="0"/>
    <w:lvlOverride w:ilvl="1"/>
    <w:lvlOverride w:ilvl="2"/>
    <w:lvlOverride w:ilvl="3"/>
    <w:lvlOverride w:ilvl="4"/>
    <w:lvlOverride w:ilvl="5"/>
    <w:lvlOverride w:ilvl="6"/>
    <w:lvlOverride w:ilvl="7"/>
    <w:lvlOverride w:ilvl="8"/>
  </w:num>
  <w:num w:numId="2" w16cid:durableId="1359741581">
    <w:abstractNumId w:val="1"/>
    <w:lvlOverride w:ilvl="0"/>
    <w:lvlOverride w:ilvl="1"/>
    <w:lvlOverride w:ilvl="2"/>
    <w:lvlOverride w:ilvl="3"/>
    <w:lvlOverride w:ilvl="4"/>
    <w:lvlOverride w:ilvl="5"/>
    <w:lvlOverride w:ilvl="6"/>
    <w:lvlOverride w:ilvl="7"/>
    <w:lvlOverride w:ilvl="8"/>
  </w:num>
  <w:num w:numId="3" w16cid:durableId="491797468">
    <w:abstractNumId w:val="0"/>
    <w:lvlOverride w:ilvl="0"/>
    <w:lvlOverride w:ilvl="1"/>
    <w:lvlOverride w:ilvl="2"/>
    <w:lvlOverride w:ilvl="3"/>
    <w:lvlOverride w:ilvl="4"/>
    <w:lvlOverride w:ilvl="5"/>
    <w:lvlOverride w:ilvl="6"/>
    <w:lvlOverride w:ilvl="7"/>
    <w:lvlOverride w:ilvl="8"/>
  </w:num>
  <w:num w:numId="4" w16cid:durableId="2083869654">
    <w:abstractNumId w:val="3"/>
    <w:lvlOverride w:ilvl="0"/>
    <w:lvlOverride w:ilvl="1"/>
    <w:lvlOverride w:ilvl="2"/>
    <w:lvlOverride w:ilvl="3"/>
    <w:lvlOverride w:ilvl="4"/>
    <w:lvlOverride w:ilvl="5"/>
    <w:lvlOverride w:ilvl="6"/>
    <w:lvlOverride w:ilvl="7"/>
    <w:lvlOverride w:ilvl="8"/>
  </w:num>
  <w:num w:numId="5" w16cid:durableId="214384179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97"/>
    <w:rsid w:val="00AC03CD"/>
    <w:rsid w:val="00F2277A"/>
    <w:rsid w:val="00FF1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7564"/>
  <w15:chartTrackingRefBased/>
  <w15:docId w15:val="{D28033E7-3E73-492D-A1A5-C27304AA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9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297"/>
    <w:rPr>
      <w:color w:val="0563C1"/>
      <w:u w:val="single"/>
    </w:rPr>
  </w:style>
  <w:style w:type="paragraph" w:styleId="ListParagraph">
    <w:name w:val="List Paragraph"/>
    <w:basedOn w:val="Normal"/>
    <w:uiPriority w:val="34"/>
    <w:qFormat/>
    <w:rsid w:val="00FF1297"/>
    <w:pPr>
      <w:ind w:left="720"/>
    </w:pPr>
  </w:style>
  <w:style w:type="character" w:customStyle="1" w:styleId="rynqvb">
    <w:name w:val="rynqvb"/>
    <w:basedOn w:val="DefaultParagraphFont"/>
    <w:rsid w:val="00FF1297"/>
  </w:style>
  <w:style w:type="character" w:styleId="FollowedHyperlink">
    <w:name w:val="FollowedHyperlink"/>
    <w:basedOn w:val="DefaultParagraphFont"/>
    <w:uiPriority w:val="99"/>
    <w:semiHidden/>
    <w:unhideWhenUsed/>
    <w:rsid w:val="00FF1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334">
      <w:bodyDiv w:val="1"/>
      <w:marLeft w:val="0"/>
      <w:marRight w:val="0"/>
      <w:marTop w:val="0"/>
      <w:marBottom w:val="0"/>
      <w:divBdr>
        <w:top w:val="none" w:sz="0" w:space="0" w:color="auto"/>
        <w:left w:val="none" w:sz="0" w:space="0" w:color="auto"/>
        <w:bottom w:val="none" w:sz="0" w:space="0" w:color="auto"/>
        <w:right w:val="none" w:sz="0" w:space="0" w:color="auto"/>
      </w:divBdr>
    </w:div>
    <w:div w:id="20878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kharkivoda.gov.ua/news/118178" TargetMode="External"/><Relationship Id="rId26" Type="http://schemas.openxmlformats.org/officeDocument/2006/relationships/hyperlink" Target="https://t.me/s/NaftogazUA" TargetMode="External"/><Relationship Id="rId21" Type="http://schemas.openxmlformats.org/officeDocument/2006/relationships/hyperlink" Target="https://t.me/khersonskaODA/1526" TargetMode="External"/><Relationship Id="rId34" Type="http://schemas.openxmlformats.org/officeDocument/2006/relationships/hyperlink" Target="https://www.ukrinform.ua/rubric-regions/3607364-u-vovcansku-na-harkivsini-ne-bude-opalenna-v-bagatopoverhivkah-meskanciv-mozut-evakuuvati.html" TargetMode="External"/><Relationship Id="rId7" Type="http://schemas.openxmlformats.org/officeDocument/2006/relationships/hyperlink" Target="https://www.oree.com.ua/" TargetMode="External"/><Relationship Id="rId12" Type="http://schemas.openxmlformats.org/officeDocument/2006/relationships/image" Target="cid:image005.png@01D8F395.EDC97830" TargetMode="External"/><Relationship Id="rId17" Type="http://schemas.openxmlformats.org/officeDocument/2006/relationships/hyperlink" Target="https://tsoua.com/prozorist/operatyvni-dobovi-dani/" TargetMode="External"/><Relationship Id="rId25" Type="http://schemas.openxmlformats.org/officeDocument/2006/relationships/image" Target="cid:image008.jpg@01D8F39B.188F13E0" TargetMode="External"/><Relationship Id="rId33" Type="http://schemas.openxmlformats.org/officeDocument/2006/relationships/hyperlink" Target="https://t.me/getmantsevdanil/37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07.jpg@01D8F39B.188F13E0" TargetMode="External"/><Relationship Id="rId20" Type="http://schemas.openxmlformats.org/officeDocument/2006/relationships/hyperlink" Target="https://www.iaea.org/newscenter/pressreleases/iaea-inspectors-complete-in-field-verification-activities-at-three-ukraine-locations-no-indications-of-undeclared-nuclear-activities-and-materials" TargetMode="External"/><Relationship Id="rId29" Type="http://schemas.openxmlformats.org/officeDocument/2006/relationships/hyperlink" Target="https://www.epravda.com.ua/news/2022/11/3/693434/" TargetMode="External"/><Relationship Id="rId1" Type="http://schemas.openxmlformats.org/officeDocument/2006/relationships/numbering" Target="numbering.xml"/><Relationship Id="rId6" Type="http://schemas.openxmlformats.org/officeDocument/2006/relationships/hyperlink" Target="https://ua.energy/uchasnikam_rinku/auktsiony/rezultaty-auktsioniv-z-dostupu-do-mizhderzhavnyh-peretyniv/" TargetMode="External"/><Relationship Id="rId11" Type="http://schemas.openxmlformats.org/officeDocument/2006/relationships/image" Target="media/image2.png"/><Relationship Id="rId24" Type="http://schemas.openxmlformats.org/officeDocument/2006/relationships/image" Target="media/image5.jpeg"/><Relationship Id="rId32" Type="http://schemas.openxmlformats.org/officeDocument/2006/relationships/hyperlink" Target="https://t.me/yzheleznyak/2829" TargetMode="External"/><Relationship Id="rId37" Type="http://schemas.openxmlformats.org/officeDocument/2006/relationships/fontTable" Target="fontTable.xml"/><Relationship Id="rId5" Type="http://schemas.openxmlformats.org/officeDocument/2006/relationships/hyperlink" Target="https://t.me/Ukrenergo/1641" TargetMode="External"/><Relationship Id="rId15" Type="http://schemas.openxmlformats.org/officeDocument/2006/relationships/image" Target="media/image4.jpeg"/><Relationship Id="rId23" Type="http://schemas.openxmlformats.org/officeDocument/2006/relationships/hyperlink" Target="https://t.me/energoatom_ua/10560" TargetMode="External"/><Relationship Id="rId28" Type="http://schemas.openxmlformats.org/officeDocument/2006/relationships/hyperlink" Target="https://www.naftogaz.com/news/oleksiy-chernyshov-ocholyv-naftogaz" TargetMode="External"/><Relationship Id="rId36" Type="http://schemas.openxmlformats.org/officeDocument/2006/relationships/hyperlink" Target="https://cip.gov.ua/ua/news/zakhist-ob-yektiv-kritichnoyi-infrastrukturi-bude-posilenii" TargetMode="External"/><Relationship Id="rId10" Type="http://schemas.openxmlformats.org/officeDocument/2006/relationships/image" Target="cid:image006.jpg@01D8F39B.188F13E0" TargetMode="External"/><Relationship Id="rId19" Type="http://schemas.openxmlformats.org/officeDocument/2006/relationships/hyperlink" Target="https://t.me/khersonskaODA/1539" TargetMode="External"/><Relationship Id="rId31" Type="http://schemas.openxmlformats.org/officeDocument/2006/relationships/hyperlink" Target="https://www.facebook.com/NaftogazUGV/posts/440015734344238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image009.png@01D8F395.EDC97830" TargetMode="External"/><Relationship Id="rId22" Type="http://schemas.openxmlformats.org/officeDocument/2006/relationships/hyperlink" Target="https://www.facebook.com/rp.gov.ua/posts/pfbid0XjMTJiXvdsSohDoEix175xMvGDBdeqAYF3AFE5Dh7YFSqXpEpEUEx41k3Ag1EMWNl" TargetMode="External"/><Relationship Id="rId27" Type="http://schemas.openxmlformats.org/officeDocument/2006/relationships/hyperlink" Target="https://www.naftogaz.com/short/ca591949" TargetMode="External"/><Relationship Id="rId30" Type="http://schemas.openxmlformats.org/officeDocument/2006/relationships/hyperlink" Target="https://www.kmu.gov.ua/news/na-sogodni-majzhe-polovina-obyektiv-po-vsij-ukrayini-pidklyucheni-do-tepla-premyer-ministr" TargetMode="External"/><Relationship Id="rId35" Type="http://schemas.openxmlformats.org/officeDocument/2006/relationships/hyperlink" Target="https://t.me/DIUkraine/1600" TargetMode="External"/><Relationship Id="rId8" Type="http://schemas.openxmlformats.org/officeDocument/2006/relationships/hyperlink" Target="https://www.iea.org/data-and-statistics/data-tools/ukraine-real-time-electricity-data-explor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8187</Words>
  <Characters>4667</Characters>
  <Application>Microsoft Office Word</Application>
  <DocSecurity>0</DocSecurity>
  <Lines>38</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Lietuvos šilumos tiekėjų asociacija</dc:creator>
  <cp:keywords/>
  <dc:description/>
  <cp:lastModifiedBy>Lietuvos šilumos tiekėjų asociacija</cp:lastModifiedBy>
  <cp:revision>1</cp:revision>
  <dcterms:created xsi:type="dcterms:W3CDTF">2022-11-09T07:15:00Z</dcterms:created>
  <dcterms:modified xsi:type="dcterms:W3CDTF">2022-11-09T07:21:00Z</dcterms:modified>
</cp:coreProperties>
</file>