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544"/>
      </w:tblGrid>
      <w:tr w:rsidR="007B703A" w:rsidRPr="00F444E2" w14:paraId="5B7FF593" w14:textId="77777777" w:rsidTr="007977AD">
        <w:tc>
          <w:tcPr>
            <w:tcW w:w="4395" w:type="dxa"/>
          </w:tcPr>
          <w:p w14:paraId="46E525FF" w14:textId="77777777" w:rsidR="007B703A" w:rsidRPr="00F444E2" w:rsidRDefault="007B703A" w:rsidP="00BC6E77">
            <w:pPr>
              <w:jc w:val="both"/>
              <w:rPr>
                <w:rFonts w:ascii="Times New Roman" w:hAnsi="Times New Roman" w:cs="Times New Roman"/>
                <w:sz w:val="24"/>
                <w:szCs w:val="24"/>
              </w:rPr>
            </w:pPr>
            <w:r w:rsidRPr="00F444E2">
              <w:rPr>
                <w:rFonts w:ascii="Times New Roman" w:hAnsi="Times New Roman" w:cs="Times New Roman"/>
                <w:noProof/>
                <w:sz w:val="24"/>
                <w:szCs w:val="24"/>
              </w:rPr>
              <w:drawing>
                <wp:inline distT="0" distB="0" distL="0" distR="0" wp14:anchorId="0D9658CC" wp14:editId="5BD93019">
                  <wp:extent cx="2237162"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5FEF872C" w14:textId="77777777" w:rsidR="007B703A" w:rsidRPr="00F444E2" w:rsidRDefault="007B703A" w:rsidP="00BC6E77">
            <w:pPr>
              <w:pStyle w:val="Footer"/>
              <w:spacing w:line="276" w:lineRule="auto"/>
              <w:rPr>
                <w:rFonts w:ascii="Gotham Book" w:hAnsi="Gotham Book" w:cs="Gotham Pro Regular"/>
                <w:color w:val="585858"/>
                <w:sz w:val="16"/>
                <w:szCs w:val="16"/>
                <w:lang w:val="lt-LT"/>
              </w:rPr>
            </w:pPr>
          </w:p>
        </w:tc>
        <w:tc>
          <w:tcPr>
            <w:tcW w:w="1984" w:type="dxa"/>
            <w:tcBorders>
              <w:right w:val="single" w:sz="4" w:space="0" w:color="00B050"/>
            </w:tcBorders>
          </w:tcPr>
          <w:p w14:paraId="03217B8E" w14:textId="77777777" w:rsidR="007B703A" w:rsidRPr="00F444E2" w:rsidRDefault="007B703A" w:rsidP="00BC6E77">
            <w:pPr>
              <w:pStyle w:val="Footer"/>
              <w:spacing w:line="276" w:lineRule="auto"/>
              <w:rPr>
                <w:rFonts w:ascii="Gotham Book" w:hAnsi="Gotham Book" w:cs="Gotham Pro Regular"/>
                <w:color w:val="585858"/>
                <w:sz w:val="16"/>
                <w:szCs w:val="16"/>
                <w:lang w:val="lt-LT"/>
              </w:rPr>
            </w:pPr>
            <w:r w:rsidRPr="00F444E2">
              <w:rPr>
                <w:rFonts w:ascii="Gotham Book" w:hAnsi="Gotham Book" w:cs="Gotham Pro Regular"/>
                <w:color w:val="585858"/>
                <w:sz w:val="16"/>
                <w:szCs w:val="16"/>
                <w:lang w:val="lt-LT"/>
              </w:rPr>
              <w:t>V. Gerulai</w:t>
            </w:r>
            <w:r w:rsidRPr="00F444E2">
              <w:rPr>
                <w:rFonts w:ascii="Gotham Book" w:eastAsia="Calibri" w:hAnsi="Gotham Book" w:cs="Calibri"/>
                <w:color w:val="585858"/>
                <w:sz w:val="16"/>
                <w:szCs w:val="16"/>
                <w:lang w:val="lt-LT"/>
              </w:rPr>
              <w:t>č</w:t>
            </w:r>
            <w:r w:rsidRPr="00F444E2">
              <w:rPr>
                <w:rFonts w:ascii="Gotham Book" w:hAnsi="Gotham Book" w:cs="Gotham Pro Regular"/>
                <w:color w:val="585858"/>
                <w:sz w:val="16"/>
                <w:szCs w:val="16"/>
                <w:lang w:val="lt-LT"/>
              </w:rPr>
              <w:t>io g. 10</w:t>
            </w:r>
          </w:p>
          <w:p w14:paraId="368D9E86" w14:textId="77777777" w:rsidR="007B703A" w:rsidRPr="00F444E2" w:rsidRDefault="007B703A" w:rsidP="00BC6E77">
            <w:pPr>
              <w:pStyle w:val="Footer"/>
              <w:spacing w:line="276" w:lineRule="auto"/>
              <w:rPr>
                <w:rFonts w:ascii="Gotham Book" w:hAnsi="Gotham Book" w:cs="Gotham Pro Regular"/>
                <w:color w:val="585858"/>
                <w:sz w:val="16"/>
                <w:szCs w:val="16"/>
                <w:lang w:val="lt-LT"/>
              </w:rPr>
            </w:pPr>
            <w:r w:rsidRPr="00F444E2">
              <w:rPr>
                <w:rFonts w:ascii="Gotham Book" w:hAnsi="Gotham Book" w:cs="Gotham Pro Regular"/>
                <w:color w:val="585858"/>
                <w:sz w:val="16"/>
                <w:szCs w:val="16"/>
                <w:lang w:val="lt-LT"/>
              </w:rPr>
              <w:t>LT-08200 Vilnius</w:t>
            </w:r>
          </w:p>
          <w:p w14:paraId="72074D66" w14:textId="77777777" w:rsidR="007B703A" w:rsidRPr="00F444E2" w:rsidRDefault="007B703A" w:rsidP="00BC6E77">
            <w:pPr>
              <w:pStyle w:val="Footer"/>
              <w:spacing w:line="276" w:lineRule="auto"/>
              <w:rPr>
                <w:rFonts w:ascii="Gotham Book" w:hAnsi="Gotham Book" w:cs="Gotham Pro Regular"/>
                <w:color w:val="585858"/>
                <w:sz w:val="16"/>
                <w:szCs w:val="16"/>
                <w:lang w:val="lt-LT"/>
              </w:rPr>
            </w:pPr>
            <w:r w:rsidRPr="00F444E2">
              <w:rPr>
                <w:rFonts w:ascii="Gotham Book" w:hAnsi="Gotham Book" w:cs="Gotham Pro Regular"/>
                <w:color w:val="585858"/>
                <w:sz w:val="16"/>
                <w:szCs w:val="16"/>
                <w:lang w:val="lt-LT"/>
              </w:rPr>
              <w:t>Tel. (8-5) 2667025</w:t>
            </w:r>
          </w:p>
          <w:p w14:paraId="1D314748" w14:textId="77777777" w:rsidR="007B703A" w:rsidRPr="00F444E2" w:rsidRDefault="007B703A" w:rsidP="00BC6E77">
            <w:pPr>
              <w:pStyle w:val="Footer"/>
              <w:spacing w:line="276" w:lineRule="auto"/>
              <w:rPr>
                <w:rFonts w:ascii="Gotham Book" w:hAnsi="Gotham Book" w:cs="Arial"/>
                <w:color w:val="404040" w:themeColor="text1" w:themeTint="BF"/>
                <w:sz w:val="13"/>
                <w:szCs w:val="13"/>
                <w:lang w:val="lt-LT"/>
              </w:rPr>
            </w:pPr>
            <w:proofErr w:type="spellStart"/>
            <w:r w:rsidRPr="00F444E2">
              <w:rPr>
                <w:rFonts w:ascii="Gotham Book" w:hAnsi="Gotham Book" w:cs="Gotham Pro Regular"/>
                <w:color w:val="585858"/>
                <w:sz w:val="16"/>
                <w:szCs w:val="16"/>
                <w:lang w:val="lt-LT"/>
              </w:rPr>
              <w:t>info@lsta.lt</w:t>
            </w:r>
            <w:proofErr w:type="spellEnd"/>
            <w:r w:rsidRPr="00F444E2">
              <w:rPr>
                <w:rFonts w:ascii="Gotham Book" w:hAnsi="Gotham Book" w:cs="Gotham Pro Regular"/>
                <w:color w:val="585858"/>
                <w:sz w:val="16"/>
                <w:szCs w:val="16"/>
                <w:lang w:val="lt-LT"/>
              </w:rPr>
              <w:t>, www.lsta.lt</w:t>
            </w:r>
          </w:p>
        </w:tc>
        <w:tc>
          <w:tcPr>
            <w:tcW w:w="3544" w:type="dxa"/>
            <w:tcBorders>
              <w:left w:val="single" w:sz="4" w:space="0" w:color="00B050"/>
            </w:tcBorders>
          </w:tcPr>
          <w:p w14:paraId="06884723" w14:textId="77777777" w:rsidR="007B703A" w:rsidRPr="00F444E2" w:rsidRDefault="007B703A" w:rsidP="00BC6E77">
            <w:pPr>
              <w:pStyle w:val="Footer"/>
              <w:rPr>
                <w:rFonts w:ascii="Gotham Book" w:hAnsi="Gotham Book" w:cs="Gotham Pro Regular"/>
                <w:color w:val="585858"/>
                <w:sz w:val="16"/>
                <w:szCs w:val="16"/>
                <w:lang w:val="lt-LT"/>
              </w:rPr>
            </w:pPr>
            <w:r w:rsidRPr="00F444E2">
              <w:rPr>
                <w:rFonts w:ascii="Gotham Book" w:hAnsi="Gotham Book" w:cs="Gotham Pro Regular"/>
                <w:color w:val="585858"/>
                <w:sz w:val="16"/>
                <w:szCs w:val="16"/>
                <w:lang w:val="lt-LT"/>
              </w:rPr>
              <w:t>Juridini</w:t>
            </w:r>
            <w:r w:rsidRPr="00F444E2">
              <w:rPr>
                <w:rFonts w:ascii="Gotham Book" w:eastAsia="Calibri" w:hAnsi="Gotham Book" w:cs="Calibri"/>
                <w:color w:val="585858"/>
                <w:sz w:val="16"/>
                <w:szCs w:val="16"/>
                <w:lang w:val="lt-LT"/>
              </w:rPr>
              <w:t>ų</w:t>
            </w:r>
            <w:r w:rsidRPr="00F444E2">
              <w:rPr>
                <w:rFonts w:ascii="Gotham Book" w:hAnsi="Gotham Book" w:cs="Gotham Pro Regular"/>
                <w:color w:val="585858"/>
                <w:sz w:val="16"/>
                <w:szCs w:val="16"/>
                <w:lang w:val="lt-LT"/>
              </w:rPr>
              <w:t xml:space="preserve"> asmen</w:t>
            </w:r>
            <w:r w:rsidRPr="00F444E2">
              <w:rPr>
                <w:rFonts w:ascii="Gotham Book" w:eastAsia="Calibri" w:hAnsi="Gotham Book" w:cs="Calibri"/>
                <w:color w:val="585858"/>
                <w:sz w:val="16"/>
                <w:szCs w:val="16"/>
                <w:lang w:val="lt-LT"/>
              </w:rPr>
              <w:t>ų</w:t>
            </w:r>
            <w:r w:rsidRPr="00F444E2">
              <w:rPr>
                <w:rFonts w:ascii="Gotham Book" w:hAnsi="Gotham Book" w:cs="Gotham Pro Regular"/>
                <w:color w:val="585858"/>
                <w:sz w:val="16"/>
                <w:szCs w:val="16"/>
                <w:lang w:val="lt-LT"/>
              </w:rPr>
              <w:t xml:space="preserve"> registras</w:t>
            </w:r>
          </w:p>
          <w:p w14:paraId="351DC31C" w14:textId="77777777" w:rsidR="007B703A" w:rsidRPr="00F444E2" w:rsidRDefault="007B703A" w:rsidP="00BC6E77">
            <w:pPr>
              <w:pStyle w:val="Footer"/>
              <w:rPr>
                <w:rFonts w:ascii="Gotham Book" w:hAnsi="Gotham Book" w:cs="Gotham Pro Regular"/>
                <w:color w:val="585858"/>
                <w:sz w:val="16"/>
                <w:szCs w:val="16"/>
                <w:lang w:val="lt-LT"/>
              </w:rPr>
            </w:pPr>
            <w:r w:rsidRPr="00F444E2">
              <w:rPr>
                <w:rFonts w:ascii="Gotham Book" w:hAnsi="Gotham Book" w:cs="Gotham Pro Regular"/>
                <w:color w:val="585858"/>
                <w:sz w:val="16"/>
                <w:szCs w:val="16"/>
                <w:lang w:val="lt-LT"/>
              </w:rPr>
              <w:t>V</w:t>
            </w:r>
            <w:r w:rsidRPr="00F444E2">
              <w:rPr>
                <w:rFonts w:ascii="Gotham Book" w:eastAsia="Calibri" w:hAnsi="Gotham Book" w:cs="Calibri"/>
                <w:color w:val="585858"/>
                <w:sz w:val="16"/>
                <w:szCs w:val="16"/>
                <w:lang w:val="lt-LT"/>
              </w:rPr>
              <w:t>Į</w:t>
            </w:r>
            <w:r w:rsidRPr="00F444E2">
              <w:rPr>
                <w:rFonts w:ascii="Gotham Book" w:hAnsi="Gotham Book" w:cs="Gotham Pro Regular"/>
                <w:color w:val="585858"/>
                <w:sz w:val="16"/>
                <w:szCs w:val="16"/>
                <w:lang w:val="lt-LT"/>
              </w:rPr>
              <w:t xml:space="preserve"> „Registr</w:t>
            </w:r>
            <w:r w:rsidRPr="00F444E2">
              <w:rPr>
                <w:rFonts w:ascii="Gotham Book" w:eastAsia="Calibri" w:hAnsi="Gotham Book" w:cs="Calibri"/>
                <w:color w:val="585858"/>
                <w:sz w:val="16"/>
                <w:szCs w:val="16"/>
                <w:lang w:val="lt-LT"/>
              </w:rPr>
              <w:t>ų</w:t>
            </w:r>
            <w:r w:rsidRPr="00F444E2">
              <w:rPr>
                <w:rFonts w:ascii="Gotham Book" w:hAnsi="Gotham Book" w:cs="Gotham Pro Regular"/>
                <w:color w:val="585858"/>
                <w:sz w:val="16"/>
                <w:szCs w:val="16"/>
                <w:lang w:val="lt-LT"/>
              </w:rPr>
              <w:t xml:space="preserve"> centras“ Vilniaus filialas</w:t>
            </w:r>
          </w:p>
          <w:p w14:paraId="51D2E841" w14:textId="77777777" w:rsidR="007B703A" w:rsidRPr="00F444E2" w:rsidRDefault="007B703A" w:rsidP="00BC6E77">
            <w:pPr>
              <w:pStyle w:val="Footer"/>
              <w:spacing w:line="276" w:lineRule="auto"/>
              <w:rPr>
                <w:rFonts w:ascii="Gotham Book" w:hAnsi="Gotham Book" w:cs="Gotham Pro Regular"/>
                <w:color w:val="585858"/>
                <w:sz w:val="16"/>
                <w:szCs w:val="16"/>
                <w:lang w:val="lt-LT"/>
              </w:rPr>
            </w:pPr>
            <w:r w:rsidRPr="00F444E2">
              <w:rPr>
                <w:rFonts w:ascii="Gotham Book" w:eastAsia="Calibri" w:hAnsi="Gotham Book" w:cs="Calibri"/>
                <w:color w:val="585858"/>
                <w:sz w:val="16"/>
                <w:szCs w:val="16"/>
                <w:lang w:val="lt-LT"/>
              </w:rPr>
              <w:t>Į</w:t>
            </w:r>
            <w:r w:rsidRPr="00F444E2">
              <w:rPr>
                <w:rFonts w:ascii="Gotham Book" w:hAnsi="Gotham Book" w:cs="Gotham Pro Regular"/>
                <w:color w:val="585858"/>
                <w:sz w:val="16"/>
                <w:szCs w:val="16"/>
                <w:lang w:val="lt-LT"/>
              </w:rPr>
              <w:t>mon</w:t>
            </w:r>
            <w:r w:rsidRPr="00F444E2">
              <w:rPr>
                <w:rFonts w:ascii="Gotham Book" w:eastAsia="Calibri" w:hAnsi="Gotham Book" w:cs="Calibri"/>
                <w:color w:val="585858"/>
                <w:sz w:val="16"/>
                <w:szCs w:val="16"/>
                <w:lang w:val="lt-LT"/>
              </w:rPr>
              <w:t>ė</w:t>
            </w:r>
            <w:r w:rsidRPr="00F444E2">
              <w:rPr>
                <w:rFonts w:ascii="Gotham Book" w:hAnsi="Gotham Book" w:cs="Gotham Pro Regular"/>
                <w:color w:val="585858"/>
                <w:sz w:val="16"/>
                <w:szCs w:val="16"/>
                <w:lang w:val="lt-LT"/>
              </w:rPr>
              <w:t xml:space="preserve">s kodas 124361985 </w:t>
            </w:r>
            <w:r w:rsidRPr="00F444E2">
              <w:rPr>
                <w:rFonts w:ascii="Gotham Book" w:hAnsi="Gotham Book" w:cs="Gotham Pro Regular"/>
                <w:color w:val="585858"/>
                <w:sz w:val="16"/>
                <w:szCs w:val="16"/>
                <w:lang w:val="lt-LT"/>
              </w:rPr>
              <w:br/>
              <w:t>Atsiskaitomoji s</w:t>
            </w:r>
            <w:r w:rsidRPr="00F444E2">
              <w:rPr>
                <w:rFonts w:ascii="Gotham Book" w:eastAsia="Calibri" w:hAnsi="Gotham Book" w:cs="Calibri"/>
                <w:color w:val="585858"/>
                <w:sz w:val="16"/>
                <w:szCs w:val="16"/>
                <w:lang w:val="lt-LT"/>
              </w:rPr>
              <w:t>ą</w:t>
            </w:r>
            <w:r w:rsidRPr="00F444E2">
              <w:rPr>
                <w:rFonts w:ascii="Gotham Book" w:hAnsi="Gotham Book" w:cs="Gotham Pro Regular"/>
                <w:color w:val="585858"/>
                <w:sz w:val="16"/>
                <w:szCs w:val="16"/>
                <w:lang w:val="lt-LT"/>
              </w:rPr>
              <w:t xml:space="preserve">skaita </w:t>
            </w:r>
          </w:p>
          <w:p w14:paraId="2324F2B6" w14:textId="77777777" w:rsidR="007B703A" w:rsidRPr="00F444E2" w:rsidRDefault="007B703A" w:rsidP="00BC6E77">
            <w:pPr>
              <w:pStyle w:val="Footer"/>
              <w:spacing w:line="276" w:lineRule="auto"/>
              <w:rPr>
                <w:rFonts w:ascii="Gotham Book" w:hAnsi="Gotham Book" w:cs="Gotham Pro Regular"/>
                <w:color w:val="585858"/>
                <w:sz w:val="16"/>
                <w:szCs w:val="16"/>
                <w:lang w:val="lt-LT"/>
              </w:rPr>
            </w:pPr>
            <w:r w:rsidRPr="00F444E2">
              <w:rPr>
                <w:rFonts w:ascii="Gotham Book" w:hAnsi="Gotham Book" w:cs="Gotham Pro Regular"/>
                <w:color w:val="585858"/>
                <w:sz w:val="16"/>
                <w:szCs w:val="16"/>
                <w:lang w:val="lt-LT"/>
              </w:rPr>
              <w:t>LT27 7044 0600 0125 7217 AB SEB bankas</w:t>
            </w:r>
          </w:p>
        </w:tc>
      </w:tr>
    </w:tbl>
    <w:tbl>
      <w:tblPr>
        <w:tblpPr w:leftFromText="180" w:rightFromText="180" w:vertAnchor="text" w:horzAnchor="margin" w:tblpY="339"/>
        <w:tblW w:w="9923" w:type="dxa"/>
        <w:tblLayout w:type="fixed"/>
        <w:tblCellMar>
          <w:left w:w="14" w:type="dxa"/>
          <w:right w:w="14" w:type="dxa"/>
        </w:tblCellMar>
        <w:tblLook w:val="0000" w:firstRow="0" w:lastRow="0" w:firstColumn="0" w:lastColumn="0" w:noHBand="0" w:noVBand="0"/>
      </w:tblPr>
      <w:tblGrid>
        <w:gridCol w:w="5537"/>
        <w:gridCol w:w="283"/>
        <w:gridCol w:w="1418"/>
        <w:gridCol w:w="2685"/>
      </w:tblGrid>
      <w:tr w:rsidR="007B703A" w:rsidRPr="00F444E2" w14:paraId="27140245" w14:textId="77777777" w:rsidTr="007977AD">
        <w:trPr>
          <w:cantSplit/>
        </w:trPr>
        <w:tc>
          <w:tcPr>
            <w:tcW w:w="5537" w:type="dxa"/>
            <w:vMerge w:val="restart"/>
          </w:tcPr>
          <w:p w14:paraId="56FCF0DA" w14:textId="62D5ED52" w:rsidR="007B703A" w:rsidRPr="00F444E2" w:rsidRDefault="007B703A" w:rsidP="00BC6E77">
            <w:pPr>
              <w:spacing w:after="0" w:line="240" w:lineRule="auto"/>
              <w:jc w:val="both"/>
              <w:rPr>
                <w:rFonts w:ascii="Times New Roman" w:hAnsi="Times New Roman" w:cs="Times New Roman"/>
                <w:b/>
                <w:sz w:val="24"/>
                <w:szCs w:val="24"/>
              </w:rPr>
            </w:pPr>
            <w:r w:rsidRPr="00F444E2">
              <w:rPr>
                <w:rFonts w:ascii="Times New Roman" w:hAnsi="Times New Roman" w:cs="Times New Roman"/>
                <w:b/>
                <w:sz w:val="24"/>
                <w:szCs w:val="24"/>
              </w:rPr>
              <w:t>Lietuvos Respublikos žemės ūkio ministerij</w:t>
            </w:r>
            <w:r w:rsidR="001F3670" w:rsidRPr="00F444E2">
              <w:rPr>
                <w:rFonts w:ascii="Times New Roman" w:hAnsi="Times New Roman" w:cs="Times New Roman"/>
                <w:b/>
                <w:sz w:val="24"/>
                <w:szCs w:val="24"/>
              </w:rPr>
              <w:t>ai</w:t>
            </w:r>
          </w:p>
        </w:tc>
        <w:tc>
          <w:tcPr>
            <w:tcW w:w="283" w:type="dxa"/>
          </w:tcPr>
          <w:p w14:paraId="40B0BCFA" w14:textId="77777777" w:rsidR="007B703A" w:rsidRPr="00F444E2" w:rsidRDefault="007B703A" w:rsidP="00BC6E77">
            <w:pPr>
              <w:spacing w:after="0" w:line="240" w:lineRule="auto"/>
              <w:rPr>
                <w:rFonts w:ascii="Times New Roman" w:hAnsi="Times New Roman" w:cs="Times New Roman"/>
                <w:bCs/>
                <w:sz w:val="24"/>
                <w:szCs w:val="24"/>
              </w:rPr>
            </w:pPr>
          </w:p>
        </w:tc>
        <w:tc>
          <w:tcPr>
            <w:tcW w:w="1418" w:type="dxa"/>
          </w:tcPr>
          <w:p w14:paraId="574E9E3B" w14:textId="2D593F13" w:rsidR="007B703A" w:rsidRPr="00F444E2" w:rsidRDefault="007B703A" w:rsidP="00BC6E77">
            <w:pPr>
              <w:spacing w:after="0" w:line="240" w:lineRule="auto"/>
              <w:rPr>
                <w:rFonts w:ascii="Times New Roman" w:hAnsi="Times New Roman" w:cs="Times New Roman"/>
                <w:bCs/>
                <w:sz w:val="24"/>
                <w:szCs w:val="24"/>
              </w:rPr>
            </w:pPr>
            <w:r w:rsidRPr="00F444E2">
              <w:rPr>
                <w:rFonts w:ascii="Times New Roman" w:hAnsi="Times New Roman" w:cs="Times New Roman"/>
                <w:bCs/>
                <w:sz w:val="24"/>
                <w:szCs w:val="24"/>
              </w:rPr>
              <w:t>2022-0</w:t>
            </w:r>
            <w:r w:rsidR="001F3670" w:rsidRPr="00F444E2">
              <w:rPr>
                <w:rFonts w:ascii="Times New Roman" w:hAnsi="Times New Roman" w:cs="Times New Roman"/>
                <w:bCs/>
                <w:sz w:val="24"/>
                <w:szCs w:val="24"/>
              </w:rPr>
              <w:t>7</w:t>
            </w:r>
            <w:r w:rsidRPr="00F444E2">
              <w:rPr>
                <w:rFonts w:ascii="Times New Roman" w:hAnsi="Times New Roman" w:cs="Times New Roman"/>
                <w:bCs/>
                <w:sz w:val="24"/>
                <w:szCs w:val="24"/>
              </w:rPr>
              <w:t>-</w:t>
            </w:r>
            <w:r w:rsidR="00BB5516" w:rsidRPr="00F444E2">
              <w:rPr>
                <w:rFonts w:ascii="Times New Roman" w:hAnsi="Times New Roman" w:cs="Times New Roman"/>
                <w:bCs/>
                <w:sz w:val="24"/>
                <w:szCs w:val="24"/>
              </w:rPr>
              <w:t>26</w:t>
            </w:r>
          </w:p>
        </w:tc>
        <w:tc>
          <w:tcPr>
            <w:tcW w:w="2685" w:type="dxa"/>
          </w:tcPr>
          <w:p w14:paraId="7E192E59" w14:textId="42269F7B" w:rsidR="007B703A" w:rsidRPr="00F444E2" w:rsidRDefault="007B703A" w:rsidP="00BC6E77">
            <w:pPr>
              <w:spacing w:after="0" w:line="240" w:lineRule="auto"/>
              <w:rPr>
                <w:rFonts w:ascii="Times New Roman" w:hAnsi="Times New Roman" w:cs="Times New Roman"/>
                <w:bCs/>
                <w:sz w:val="24"/>
                <w:szCs w:val="24"/>
              </w:rPr>
            </w:pPr>
            <w:r w:rsidRPr="00F444E2">
              <w:rPr>
                <w:rFonts w:ascii="Times New Roman" w:hAnsi="Times New Roman" w:cs="Times New Roman"/>
                <w:bCs/>
                <w:sz w:val="24"/>
                <w:szCs w:val="24"/>
              </w:rPr>
              <w:t xml:space="preserve">Nr. </w:t>
            </w:r>
            <w:r w:rsidR="00BB5516" w:rsidRPr="00F444E2">
              <w:rPr>
                <w:rFonts w:ascii="Times New Roman" w:hAnsi="Times New Roman" w:cs="Times New Roman"/>
                <w:bCs/>
                <w:sz w:val="24"/>
                <w:szCs w:val="24"/>
              </w:rPr>
              <w:t>78</w:t>
            </w:r>
          </w:p>
        </w:tc>
      </w:tr>
      <w:tr w:rsidR="007B703A" w:rsidRPr="00F444E2" w14:paraId="60C60C64" w14:textId="77777777" w:rsidTr="007977AD">
        <w:trPr>
          <w:cantSplit/>
        </w:trPr>
        <w:tc>
          <w:tcPr>
            <w:tcW w:w="5537" w:type="dxa"/>
            <w:vMerge/>
          </w:tcPr>
          <w:p w14:paraId="45A7E74F" w14:textId="77777777" w:rsidR="007B703A" w:rsidRPr="00F444E2" w:rsidRDefault="007B703A" w:rsidP="00BC6E77">
            <w:pPr>
              <w:spacing w:after="0" w:line="240" w:lineRule="auto"/>
              <w:rPr>
                <w:rFonts w:ascii="Times New Roman" w:hAnsi="Times New Roman" w:cs="Times New Roman"/>
                <w:sz w:val="24"/>
                <w:szCs w:val="24"/>
              </w:rPr>
            </w:pPr>
          </w:p>
        </w:tc>
        <w:tc>
          <w:tcPr>
            <w:tcW w:w="283" w:type="dxa"/>
          </w:tcPr>
          <w:p w14:paraId="55619E29" w14:textId="77777777" w:rsidR="007B703A" w:rsidRPr="00F444E2" w:rsidRDefault="007B703A" w:rsidP="00BC6E77">
            <w:pPr>
              <w:pStyle w:val="Heading1"/>
              <w:rPr>
                <w:szCs w:val="24"/>
              </w:rPr>
            </w:pPr>
            <w:r w:rsidRPr="00F444E2">
              <w:rPr>
                <w:szCs w:val="24"/>
              </w:rPr>
              <w:t>Į</w:t>
            </w:r>
          </w:p>
        </w:tc>
        <w:tc>
          <w:tcPr>
            <w:tcW w:w="1418" w:type="dxa"/>
          </w:tcPr>
          <w:p w14:paraId="1CFD6A48" w14:textId="77777777" w:rsidR="007B703A" w:rsidRPr="00F444E2" w:rsidRDefault="007B703A" w:rsidP="00BC6E77">
            <w:pPr>
              <w:spacing w:after="0" w:line="240" w:lineRule="auto"/>
              <w:rPr>
                <w:rFonts w:ascii="Times New Roman" w:hAnsi="Times New Roman" w:cs="Times New Roman"/>
                <w:sz w:val="24"/>
                <w:szCs w:val="24"/>
              </w:rPr>
            </w:pPr>
          </w:p>
        </w:tc>
        <w:tc>
          <w:tcPr>
            <w:tcW w:w="2685" w:type="dxa"/>
          </w:tcPr>
          <w:p w14:paraId="40E30866" w14:textId="77777777" w:rsidR="007B703A" w:rsidRPr="00F444E2" w:rsidRDefault="007B703A" w:rsidP="00BC6E77">
            <w:pPr>
              <w:pStyle w:val="Heading1"/>
              <w:rPr>
                <w:szCs w:val="24"/>
              </w:rPr>
            </w:pPr>
            <w:r w:rsidRPr="00F444E2">
              <w:rPr>
                <w:szCs w:val="24"/>
              </w:rPr>
              <w:t xml:space="preserve">Nr. </w:t>
            </w:r>
          </w:p>
        </w:tc>
      </w:tr>
      <w:tr w:rsidR="007B703A" w:rsidRPr="00F444E2" w14:paraId="19577137" w14:textId="77777777" w:rsidTr="007977AD">
        <w:trPr>
          <w:cantSplit/>
          <w:trHeight w:val="302"/>
        </w:trPr>
        <w:tc>
          <w:tcPr>
            <w:tcW w:w="5537" w:type="dxa"/>
          </w:tcPr>
          <w:p w14:paraId="28D64247" w14:textId="77777777" w:rsidR="007B703A" w:rsidRPr="00F444E2" w:rsidRDefault="007B703A" w:rsidP="00BC6E77">
            <w:pPr>
              <w:tabs>
                <w:tab w:val="left" w:pos="3513"/>
              </w:tabs>
              <w:spacing w:after="0" w:line="240" w:lineRule="auto"/>
              <w:rPr>
                <w:rFonts w:ascii="Times New Roman" w:hAnsi="Times New Roman" w:cs="Times New Roman"/>
                <w:sz w:val="24"/>
                <w:szCs w:val="24"/>
              </w:rPr>
            </w:pPr>
          </w:p>
        </w:tc>
        <w:tc>
          <w:tcPr>
            <w:tcW w:w="283" w:type="dxa"/>
          </w:tcPr>
          <w:p w14:paraId="3EB9717D" w14:textId="77777777" w:rsidR="007B703A" w:rsidRPr="00F444E2" w:rsidRDefault="007B703A" w:rsidP="00BC6E77">
            <w:pPr>
              <w:spacing w:after="0" w:line="240" w:lineRule="auto"/>
              <w:rPr>
                <w:rFonts w:ascii="Times New Roman" w:hAnsi="Times New Roman" w:cs="Times New Roman"/>
                <w:sz w:val="24"/>
                <w:szCs w:val="24"/>
              </w:rPr>
            </w:pPr>
          </w:p>
        </w:tc>
        <w:tc>
          <w:tcPr>
            <w:tcW w:w="1418" w:type="dxa"/>
          </w:tcPr>
          <w:p w14:paraId="6B439E20" w14:textId="77777777" w:rsidR="007B703A" w:rsidRPr="00F444E2" w:rsidRDefault="007B703A" w:rsidP="00BC6E77">
            <w:pPr>
              <w:spacing w:after="0" w:line="240" w:lineRule="auto"/>
              <w:rPr>
                <w:rFonts w:ascii="Times New Roman" w:hAnsi="Times New Roman" w:cs="Times New Roman"/>
                <w:sz w:val="24"/>
                <w:szCs w:val="24"/>
              </w:rPr>
            </w:pPr>
          </w:p>
        </w:tc>
        <w:tc>
          <w:tcPr>
            <w:tcW w:w="2685" w:type="dxa"/>
          </w:tcPr>
          <w:p w14:paraId="1C162A0A" w14:textId="77777777" w:rsidR="007B703A" w:rsidRPr="00F444E2" w:rsidRDefault="007B703A" w:rsidP="00BC6E77">
            <w:pPr>
              <w:spacing w:after="0" w:line="240" w:lineRule="auto"/>
              <w:rPr>
                <w:rFonts w:ascii="Times New Roman" w:hAnsi="Times New Roman" w:cs="Times New Roman"/>
                <w:sz w:val="24"/>
                <w:szCs w:val="24"/>
              </w:rPr>
            </w:pPr>
          </w:p>
        </w:tc>
      </w:tr>
      <w:tr w:rsidR="007B703A" w:rsidRPr="00F444E2" w14:paraId="528BA98B" w14:textId="77777777" w:rsidTr="007977AD">
        <w:trPr>
          <w:cantSplit/>
        </w:trPr>
        <w:tc>
          <w:tcPr>
            <w:tcW w:w="9923" w:type="dxa"/>
            <w:gridSpan w:val="4"/>
          </w:tcPr>
          <w:p w14:paraId="4A9F0B91" w14:textId="17F0605C" w:rsidR="007B703A" w:rsidRPr="00F444E2" w:rsidRDefault="007B703A" w:rsidP="001F3670">
            <w:pPr>
              <w:spacing w:after="0" w:line="240" w:lineRule="auto"/>
              <w:jc w:val="both"/>
              <w:rPr>
                <w:rFonts w:ascii="Times New Roman" w:hAnsi="Times New Roman" w:cs="Times New Roman"/>
                <w:b/>
                <w:bCs/>
                <w:caps/>
                <w:sz w:val="24"/>
                <w:szCs w:val="24"/>
              </w:rPr>
            </w:pPr>
            <w:r w:rsidRPr="00F444E2">
              <w:rPr>
                <w:rFonts w:ascii="Times New Roman" w:hAnsi="Times New Roman" w:cs="Times New Roman"/>
                <w:b/>
                <w:bCs/>
                <w:caps/>
                <w:sz w:val="24"/>
                <w:szCs w:val="24"/>
              </w:rPr>
              <w:t>DĖL  žemės įstatymo 9</w:t>
            </w:r>
            <w:r w:rsidRPr="00F444E2">
              <w:rPr>
                <w:rFonts w:ascii="Times New Roman" w:hAnsi="Times New Roman" w:cs="Times New Roman"/>
                <w:b/>
                <w:bCs/>
                <w:caps/>
                <w:sz w:val="24"/>
                <w:szCs w:val="24"/>
                <w:vertAlign w:val="superscript"/>
              </w:rPr>
              <w:t>1</w:t>
            </w:r>
            <w:r w:rsidRPr="00F444E2">
              <w:rPr>
                <w:rFonts w:ascii="Times New Roman" w:hAnsi="Times New Roman" w:cs="Times New Roman"/>
                <w:b/>
                <w:bCs/>
                <w:caps/>
                <w:sz w:val="24"/>
                <w:szCs w:val="24"/>
              </w:rPr>
              <w:t xml:space="preserve"> straipsnio taikymo praktikos </w:t>
            </w:r>
          </w:p>
        </w:tc>
      </w:tr>
    </w:tbl>
    <w:p w14:paraId="7D9CB378" w14:textId="7C74AA87" w:rsidR="007B703A" w:rsidRPr="00F444E2" w:rsidRDefault="007B703A" w:rsidP="001F3670">
      <w:pPr>
        <w:spacing w:after="0" w:line="240" w:lineRule="auto"/>
        <w:jc w:val="both"/>
        <w:rPr>
          <w:rFonts w:ascii="Times New Roman" w:hAnsi="Times New Roman" w:cs="Times New Roman"/>
          <w:sz w:val="24"/>
          <w:szCs w:val="24"/>
        </w:rPr>
      </w:pPr>
    </w:p>
    <w:p w14:paraId="155F1C1E" w14:textId="77777777" w:rsidR="007B703A" w:rsidRPr="00F444E2" w:rsidRDefault="007B703A" w:rsidP="001F3670">
      <w:pPr>
        <w:tabs>
          <w:tab w:val="left" w:pos="1164"/>
        </w:tabs>
        <w:spacing w:after="0" w:line="240" w:lineRule="auto"/>
        <w:jc w:val="both"/>
        <w:rPr>
          <w:rFonts w:ascii="Times New Roman" w:hAnsi="Times New Roman" w:cs="Times New Roman"/>
          <w:sz w:val="24"/>
          <w:szCs w:val="24"/>
        </w:rPr>
      </w:pPr>
    </w:p>
    <w:p w14:paraId="763690F2" w14:textId="6BB421D3" w:rsidR="001A1D47" w:rsidRPr="00F444E2" w:rsidRDefault="001A1D47" w:rsidP="001F3670">
      <w:pPr>
        <w:tabs>
          <w:tab w:val="left" w:pos="1164"/>
        </w:tabs>
        <w:spacing w:after="0" w:line="240" w:lineRule="auto"/>
        <w:jc w:val="both"/>
        <w:rPr>
          <w:rFonts w:ascii="Times New Roman" w:hAnsi="Times New Roman" w:cs="Times New Roman"/>
          <w:color w:val="000000"/>
          <w:sz w:val="24"/>
          <w:szCs w:val="24"/>
        </w:rPr>
      </w:pPr>
      <w:r w:rsidRPr="00F444E2">
        <w:rPr>
          <w:rFonts w:ascii="Times New Roman" w:hAnsi="Times New Roman" w:cs="Times New Roman"/>
          <w:sz w:val="24"/>
          <w:szCs w:val="24"/>
        </w:rPr>
        <w:tab/>
      </w:r>
      <w:r w:rsidR="007F597E" w:rsidRPr="00F444E2">
        <w:rPr>
          <w:rFonts w:ascii="Times New Roman" w:hAnsi="Times New Roman" w:cs="Times New Roman"/>
          <w:sz w:val="24"/>
          <w:szCs w:val="24"/>
        </w:rPr>
        <w:t>Lietuvos šilumos tiekėjų asociacija (toliau – Asociacija) susipažinusi su Lietuvos Respublikos žemės įstatymo (toliau – Įstatymas) 9</w:t>
      </w:r>
      <w:r w:rsidR="007F597E" w:rsidRPr="00F444E2">
        <w:rPr>
          <w:rFonts w:ascii="Times New Roman" w:hAnsi="Times New Roman" w:cs="Times New Roman"/>
          <w:sz w:val="24"/>
          <w:szCs w:val="24"/>
          <w:vertAlign w:val="superscript"/>
        </w:rPr>
        <w:t xml:space="preserve">1 </w:t>
      </w:r>
      <w:r w:rsidR="007F597E" w:rsidRPr="00F444E2">
        <w:rPr>
          <w:rFonts w:ascii="Times New Roman" w:hAnsi="Times New Roman" w:cs="Times New Roman"/>
          <w:sz w:val="24"/>
          <w:szCs w:val="24"/>
        </w:rPr>
        <w:t>str., įsigaliojusiu nuo š. m. kovo 1 d., taikymo praktika, atkreipia Jūsų dėmesį į šio straipsnio taikymo pasekmes. Šiuo metu galiojantis Įstatymas reglamentuoja, kad, pavyzdžiui, šilumos tiekėjas išsinuomojęs</w:t>
      </w:r>
      <w:r w:rsidR="007B703A" w:rsidRPr="00F444E2">
        <w:rPr>
          <w:rFonts w:ascii="Times New Roman" w:hAnsi="Times New Roman" w:cs="Times New Roman"/>
          <w:sz w:val="24"/>
          <w:szCs w:val="24"/>
        </w:rPr>
        <w:t xml:space="preserve"> </w:t>
      </w:r>
      <w:r w:rsidR="007F597E" w:rsidRPr="00F444E2">
        <w:rPr>
          <w:rFonts w:ascii="Times New Roman" w:hAnsi="Times New Roman" w:cs="Times New Roman"/>
          <w:sz w:val="24"/>
          <w:szCs w:val="24"/>
        </w:rPr>
        <w:t>žemės sklypą iš valstybės ir kai jame stato</w:t>
      </w:r>
      <w:r w:rsidR="007B703A" w:rsidRPr="00F444E2">
        <w:rPr>
          <w:rFonts w:ascii="Times New Roman" w:hAnsi="Times New Roman" w:cs="Times New Roman"/>
          <w:sz w:val="24"/>
          <w:szCs w:val="24"/>
        </w:rPr>
        <w:t xml:space="preserve"> </w:t>
      </w:r>
      <w:r w:rsidR="007F597E" w:rsidRPr="00F444E2">
        <w:rPr>
          <w:rFonts w:ascii="Times New Roman" w:hAnsi="Times New Roman" w:cs="Times New Roman"/>
          <w:sz w:val="24"/>
          <w:szCs w:val="24"/>
        </w:rPr>
        <w:t>/</w:t>
      </w:r>
      <w:r w:rsidR="007B703A" w:rsidRPr="00F444E2">
        <w:rPr>
          <w:rFonts w:ascii="Times New Roman" w:hAnsi="Times New Roman" w:cs="Times New Roman"/>
          <w:sz w:val="24"/>
          <w:szCs w:val="24"/>
        </w:rPr>
        <w:t xml:space="preserve"> </w:t>
      </w:r>
      <w:r w:rsidR="007F597E" w:rsidRPr="00F444E2">
        <w:rPr>
          <w:rFonts w:ascii="Times New Roman" w:hAnsi="Times New Roman" w:cs="Times New Roman"/>
          <w:sz w:val="24"/>
          <w:szCs w:val="24"/>
        </w:rPr>
        <w:t xml:space="preserve">rekonstruoja savo įrenginius, </w:t>
      </w:r>
      <w:r w:rsidR="007F597E" w:rsidRPr="00F444E2">
        <w:rPr>
          <w:rFonts w:ascii="Times New Roman" w:hAnsi="Times New Roman" w:cs="Times New Roman"/>
          <w:color w:val="000000"/>
          <w:sz w:val="24"/>
          <w:szCs w:val="24"/>
        </w:rPr>
        <w:t>privalo sumokėti atlyginimą į valstybės biudžetą, tiek</w:t>
      </w:r>
      <w:r w:rsidR="007B703A" w:rsidRPr="00F444E2">
        <w:rPr>
          <w:rFonts w:ascii="Times New Roman" w:hAnsi="Times New Roman" w:cs="Times New Roman"/>
          <w:color w:val="000000"/>
          <w:sz w:val="24"/>
          <w:szCs w:val="24"/>
        </w:rPr>
        <w:t xml:space="preserve"> </w:t>
      </w:r>
      <w:r w:rsidR="007F597E" w:rsidRPr="00F444E2">
        <w:rPr>
          <w:rFonts w:ascii="Times New Roman" w:hAnsi="Times New Roman" w:cs="Times New Roman"/>
          <w:color w:val="000000"/>
          <w:sz w:val="24"/>
          <w:szCs w:val="24"/>
        </w:rPr>
        <w:t xml:space="preserve">už esamų statinių rekonstrukcijos </w:t>
      </w:r>
      <w:r w:rsidR="007B703A" w:rsidRPr="00F444E2">
        <w:rPr>
          <w:rFonts w:ascii="Times New Roman" w:hAnsi="Times New Roman" w:cs="Times New Roman"/>
          <w:color w:val="000000"/>
          <w:sz w:val="24"/>
          <w:szCs w:val="24"/>
        </w:rPr>
        <w:t>galimybę</w:t>
      </w:r>
      <w:r w:rsidR="007F597E" w:rsidRPr="00F444E2">
        <w:rPr>
          <w:rFonts w:ascii="Times New Roman" w:hAnsi="Times New Roman" w:cs="Times New Roman"/>
          <w:color w:val="000000"/>
          <w:sz w:val="24"/>
          <w:szCs w:val="24"/>
        </w:rPr>
        <w:t xml:space="preserve">, </w:t>
      </w:r>
      <w:r w:rsidR="007B703A" w:rsidRPr="00F444E2">
        <w:rPr>
          <w:rFonts w:ascii="Times New Roman" w:hAnsi="Times New Roman" w:cs="Times New Roman"/>
          <w:color w:val="000000"/>
          <w:sz w:val="24"/>
          <w:szCs w:val="24"/>
        </w:rPr>
        <w:t>tiek</w:t>
      </w:r>
      <w:r w:rsidR="007F597E" w:rsidRPr="00F444E2">
        <w:rPr>
          <w:rFonts w:ascii="Times New Roman" w:hAnsi="Times New Roman" w:cs="Times New Roman"/>
          <w:color w:val="000000"/>
          <w:sz w:val="24"/>
          <w:szCs w:val="24"/>
        </w:rPr>
        <w:t xml:space="preserve"> ir už nauj</w:t>
      </w:r>
      <w:r w:rsidR="007B703A" w:rsidRPr="00F444E2">
        <w:rPr>
          <w:rFonts w:ascii="Times New Roman" w:hAnsi="Times New Roman" w:cs="Times New Roman"/>
          <w:color w:val="000000"/>
          <w:sz w:val="24"/>
          <w:szCs w:val="24"/>
        </w:rPr>
        <w:t>ų</w:t>
      </w:r>
      <w:r w:rsidR="007F597E" w:rsidRPr="00F444E2">
        <w:rPr>
          <w:rFonts w:ascii="Times New Roman" w:hAnsi="Times New Roman" w:cs="Times New Roman"/>
          <w:color w:val="000000"/>
          <w:sz w:val="24"/>
          <w:szCs w:val="24"/>
        </w:rPr>
        <w:t xml:space="preserve"> įrengini</w:t>
      </w:r>
      <w:r w:rsidR="007B703A" w:rsidRPr="00F444E2">
        <w:rPr>
          <w:rFonts w:ascii="Times New Roman" w:hAnsi="Times New Roman" w:cs="Times New Roman"/>
          <w:color w:val="000000"/>
          <w:sz w:val="24"/>
          <w:szCs w:val="24"/>
        </w:rPr>
        <w:t>ų</w:t>
      </w:r>
      <w:r w:rsidR="007F597E" w:rsidRPr="00F444E2">
        <w:rPr>
          <w:rFonts w:ascii="Times New Roman" w:hAnsi="Times New Roman" w:cs="Times New Roman"/>
          <w:color w:val="000000"/>
          <w:sz w:val="24"/>
          <w:szCs w:val="24"/>
        </w:rPr>
        <w:t xml:space="preserve"> (katilin</w:t>
      </w:r>
      <w:r w:rsidRPr="00F444E2">
        <w:rPr>
          <w:rFonts w:ascii="Times New Roman" w:hAnsi="Times New Roman" w:cs="Times New Roman"/>
          <w:color w:val="000000"/>
          <w:sz w:val="24"/>
          <w:szCs w:val="24"/>
        </w:rPr>
        <w:t>ių,</w:t>
      </w:r>
      <w:r w:rsidR="007F597E" w:rsidRPr="00F444E2">
        <w:rPr>
          <w:rFonts w:ascii="Times New Roman" w:hAnsi="Times New Roman" w:cs="Times New Roman"/>
          <w:color w:val="000000"/>
          <w:sz w:val="24"/>
          <w:szCs w:val="24"/>
        </w:rPr>
        <w:t xml:space="preserve"> vamzdyn</w:t>
      </w:r>
      <w:r w:rsidRPr="00F444E2">
        <w:rPr>
          <w:rFonts w:ascii="Times New Roman" w:hAnsi="Times New Roman" w:cs="Times New Roman"/>
          <w:color w:val="000000"/>
          <w:sz w:val="24"/>
          <w:szCs w:val="24"/>
        </w:rPr>
        <w:t>ų</w:t>
      </w:r>
      <w:r w:rsidR="007F597E" w:rsidRPr="00F444E2">
        <w:rPr>
          <w:rFonts w:ascii="Times New Roman" w:hAnsi="Times New Roman" w:cs="Times New Roman"/>
          <w:color w:val="000000"/>
          <w:sz w:val="24"/>
          <w:szCs w:val="24"/>
        </w:rPr>
        <w:t xml:space="preserve"> ir kt. statini</w:t>
      </w:r>
      <w:r w:rsidRPr="00F444E2">
        <w:rPr>
          <w:rFonts w:ascii="Times New Roman" w:hAnsi="Times New Roman" w:cs="Times New Roman"/>
          <w:color w:val="000000"/>
          <w:sz w:val="24"/>
          <w:szCs w:val="24"/>
        </w:rPr>
        <w:t>ų</w:t>
      </w:r>
      <w:r w:rsidR="007F597E" w:rsidRPr="00F444E2">
        <w:rPr>
          <w:rFonts w:ascii="Times New Roman" w:hAnsi="Times New Roman" w:cs="Times New Roman"/>
          <w:color w:val="000000"/>
          <w:sz w:val="24"/>
          <w:szCs w:val="24"/>
        </w:rPr>
        <w:t>)</w:t>
      </w:r>
      <w:r w:rsidR="007B703A" w:rsidRPr="00F444E2">
        <w:rPr>
          <w:rFonts w:ascii="Times New Roman" w:hAnsi="Times New Roman" w:cs="Times New Roman"/>
          <w:color w:val="000000"/>
          <w:sz w:val="24"/>
          <w:szCs w:val="24"/>
        </w:rPr>
        <w:t xml:space="preserve"> statybos galimybę</w:t>
      </w:r>
      <w:r w:rsidR="003914E4" w:rsidRPr="00F444E2">
        <w:rPr>
          <w:rFonts w:ascii="Times New Roman" w:hAnsi="Times New Roman" w:cs="Times New Roman"/>
          <w:color w:val="000000"/>
          <w:sz w:val="24"/>
          <w:szCs w:val="24"/>
        </w:rPr>
        <w:t xml:space="preserve"> valstybinėje žemėje</w:t>
      </w:r>
      <w:r w:rsidR="007F597E" w:rsidRPr="00F444E2">
        <w:rPr>
          <w:rFonts w:ascii="Times New Roman" w:hAnsi="Times New Roman" w:cs="Times New Roman"/>
          <w:color w:val="000000"/>
          <w:sz w:val="24"/>
          <w:szCs w:val="24"/>
        </w:rPr>
        <w:t xml:space="preserve">. Ši prievolė kyla, </w:t>
      </w:r>
      <w:r w:rsidR="007F597E" w:rsidRPr="00F444E2">
        <w:rPr>
          <w:rFonts w:ascii="Times New Roman" w:hAnsi="Times New Roman" w:cs="Times New Roman"/>
          <w:sz w:val="24"/>
          <w:szCs w:val="24"/>
        </w:rPr>
        <w:t xml:space="preserve">kadangi Įstatymo </w:t>
      </w:r>
      <w:r w:rsidR="007F597E" w:rsidRPr="00F444E2">
        <w:rPr>
          <w:rFonts w:ascii="Times New Roman" w:hAnsi="Times New Roman" w:cs="Times New Roman"/>
          <w:b/>
          <w:bCs/>
          <w:color w:val="000000"/>
          <w:sz w:val="24"/>
          <w:szCs w:val="24"/>
          <w:u w:val="single"/>
        </w:rPr>
        <w:t>9</w:t>
      </w:r>
      <w:r w:rsidR="007F597E" w:rsidRPr="00F444E2">
        <w:rPr>
          <w:rFonts w:ascii="Times New Roman" w:hAnsi="Times New Roman" w:cs="Times New Roman"/>
          <w:b/>
          <w:bCs/>
          <w:color w:val="000000"/>
          <w:sz w:val="24"/>
          <w:szCs w:val="24"/>
          <w:u w:val="single"/>
          <w:vertAlign w:val="superscript"/>
        </w:rPr>
        <w:t>1</w:t>
      </w:r>
      <w:r w:rsidR="007F597E" w:rsidRPr="00F444E2">
        <w:rPr>
          <w:rFonts w:ascii="Times New Roman" w:hAnsi="Times New Roman" w:cs="Times New Roman"/>
          <w:b/>
          <w:bCs/>
          <w:color w:val="000000"/>
          <w:sz w:val="24"/>
          <w:szCs w:val="24"/>
          <w:u w:val="single"/>
        </w:rPr>
        <w:t xml:space="preserve"> straipsnio 1 d. </w:t>
      </w:r>
      <w:r w:rsidR="007F597E" w:rsidRPr="00F444E2">
        <w:rPr>
          <w:rFonts w:ascii="Times New Roman" w:hAnsi="Times New Roman" w:cs="Times New Roman"/>
          <w:color w:val="000000"/>
          <w:sz w:val="24"/>
          <w:szCs w:val="24"/>
          <w:u w:val="single"/>
        </w:rPr>
        <w:t>numato</w:t>
      </w:r>
      <w:r w:rsidR="007F597E" w:rsidRPr="00F444E2">
        <w:rPr>
          <w:rFonts w:ascii="Times New Roman" w:hAnsi="Times New Roman" w:cs="Times New Roman"/>
          <w:b/>
          <w:bCs/>
          <w:color w:val="000000"/>
          <w:sz w:val="24"/>
          <w:szCs w:val="24"/>
          <w:u w:val="single"/>
        </w:rPr>
        <w:t>:</w:t>
      </w:r>
      <w:r w:rsidR="007F597E" w:rsidRPr="00F444E2">
        <w:rPr>
          <w:rFonts w:ascii="Times New Roman" w:hAnsi="Times New Roman" w:cs="Times New Roman"/>
          <w:i/>
          <w:iCs/>
          <w:color w:val="000000"/>
          <w:sz w:val="24"/>
          <w:szCs w:val="24"/>
          <w:u w:val="single"/>
        </w:rPr>
        <w:t xml:space="preserve"> „</w:t>
      </w:r>
      <w:r w:rsidR="007F597E" w:rsidRPr="00F444E2">
        <w:rPr>
          <w:rFonts w:ascii="Times New Roman" w:hAnsi="Times New Roman" w:cs="Times New Roman"/>
          <w:i/>
          <w:iCs/>
          <w:color w:val="000000"/>
          <w:sz w:val="24"/>
          <w:szCs w:val="24"/>
        </w:rPr>
        <w:t>Valstybinės žemės nuomos sutartyje nurodoma, kad nuomininkas galimybę statyti ir (ar) rekonstruoti statinius ar įrenginius įgyja tik sumokėjęs į valstybės ir savivaldybės, kurios teritorijoje yra žemės sklypas, biudžetus nurodytą šio straipsnio 3 ir 4 dalyse atlyginimą už galimybę statyti ir (ar) rekonstruoti statinius ar įrenginius“</w:t>
      </w:r>
      <w:r w:rsidR="007F597E" w:rsidRPr="00F444E2">
        <w:rPr>
          <w:rFonts w:ascii="Times New Roman" w:hAnsi="Times New Roman" w:cs="Times New Roman"/>
          <w:color w:val="000000"/>
          <w:sz w:val="24"/>
          <w:szCs w:val="24"/>
        </w:rPr>
        <w:t xml:space="preserve">. </w:t>
      </w:r>
    </w:p>
    <w:p w14:paraId="5DC261E8" w14:textId="027C9940" w:rsidR="007F597E" w:rsidRPr="00F444E2" w:rsidRDefault="001A1D47" w:rsidP="001F3670">
      <w:pPr>
        <w:tabs>
          <w:tab w:val="left" w:pos="1164"/>
        </w:tabs>
        <w:spacing w:after="0" w:line="240" w:lineRule="auto"/>
        <w:jc w:val="both"/>
        <w:rPr>
          <w:rFonts w:ascii="Times New Roman" w:hAnsi="Times New Roman" w:cs="Times New Roman"/>
          <w:color w:val="000000"/>
          <w:sz w:val="24"/>
          <w:szCs w:val="24"/>
        </w:rPr>
      </w:pPr>
      <w:r w:rsidRPr="00F444E2">
        <w:rPr>
          <w:rFonts w:ascii="Times New Roman" w:hAnsi="Times New Roman" w:cs="Times New Roman"/>
          <w:color w:val="000000"/>
          <w:sz w:val="24"/>
          <w:szCs w:val="24"/>
        </w:rPr>
        <w:tab/>
      </w:r>
      <w:r w:rsidR="007F597E" w:rsidRPr="00F444E2">
        <w:rPr>
          <w:rFonts w:ascii="Times New Roman" w:hAnsi="Times New Roman" w:cs="Times New Roman"/>
          <w:color w:val="000000"/>
          <w:sz w:val="24"/>
          <w:szCs w:val="24"/>
        </w:rPr>
        <w:t>Minėtas straipsnis numato susimokėti valstybės nustatytą atlyginimą, kadangi tai būtina sąlyga tiesiant ar rekonstruojant šilumos perdavimo tinklus, statant katilines, diegiant atsinaujinančių energijos išteklių (toliau – AEI) technologijas (pvz., saulės kolektorius, šilumos siurblius), įrengiant akumuliacines šilumos talpyklas ir pan. Praktiniu šilumos tiekėjų vertinimu, kartais atlyginimas yra neproporcingai didelis, lyginant su įgyvendinamo projekto verte ir projektus išbrangina tiek, kad jie tampa ekonomiškai neatsiperkantys, ne</w:t>
      </w:r>
      <w:r w:rsidR="00F55793" w:rsidRPr="00F444E2">
        <w:rPr>
          <w:rFonts w:ascii="Times New Roman" w:hAnsi="Times New Roman" w:cs="Times New Roman"/>
          <w:color w:val="000000"/>
          <w:sz w:val="24"/>
          <w:szCs w:val="24"/>
        </w:rPr>
        <w:t xml:space="preserve">tgi </w:t>
      </w:r>
      <w:r w:rsidR="007F597E" w:rsidRPr="00F444E2">
        <w:rPr>
          <w:rFonts w:ascii="Times New Roman" w:hAnsi="Times New Roman" w:cs="Times New Roman"/>
          <w:color w:val="000000"/>
          <w:sz w:val="24"/>
          <w:szCs w:val="24"/>
        </w:rPr>
        <w:t xml:space="preserve">didina šilumos kainas vartotojams. Tuo pačiu apsunkina įgyvendinti valstybės iškeltus tikslus centralizuotam šilumos tiekimo sektoriui </w:t>
      </w:r>
      <w:r w:rsidRPr="00F444E2">
        <w:rPr>
          <w:rFonts w:ascii="Times New Roman" w:hAnsi="Times New Roman" w:cs="Times New Roman"/>
          <w:color w:val="000000"/>
          <w:sz w:val="24"/>
          <w:szCs w:val="24"/>
        </w:rPr>
        <w:t>–</w:t>
      </w:r>
      <w:r w:rsidR="007F597E" w:rsidRPr="00F444E2">
        <w:rPr>
          <w:rFonts w:ascii="Times New Roman" w:hAnsi="Times New Roman" w:cs="Times New Roman"/>
          <w:color w:val="000000"/>
          <w:sz w:val="24"/>
          <w:szCs w:val="24"/>
        </w:rPr>
        <w:t xml:space="preserve"> pasiekti, kad  2030 m. AEI dalis </w:t>
      </w:r>
      <w:r w:rsidRPr="00F444E2">
        <w:rPr>
          <w:rFonts w:ascii="Times New Roman" w:hAnsi="Times New Roman" w:cs="Times New Roman"/>
          <w:color w:val="000000"/>
          <w:sz w:val="24"/>
          <w:szCs w:val="24"/>
        </w:rPr>
        <w:t xml:space="preserve">sudarytų </w:t>
      </w:r>
      <w:r w:rsidR="007F597E" w:rsidRPr="00F444E2">
        <w:rPr>
          <w:rFonts w:ascii="Times New Roman" w:hAnsi="Times New Roman" w:cs="Times New Roman"/>
          <w:color w:val="000000"/>
          <w:sz w:val="24"/>
          <w:szCs w:val="24"/>
        </w:rPr>
        <w:t xml:space="preserve">90 proc., 2050 m. – 100 proc.). </w:t>
      </w:r>
    </w:p>
    <w:p w14:paraId="0CD051A2" w14:textId="0EAE562C" w:rsidR="007F597E" w:rsidRPr="00F444E2" w:rsidRDefault="007F597E" w:rsidP="001F3670">
      <w:pPr>
        <w:pStyle w:val="NormalWeb"/>
        <w:shd w:val="clear" w:color="auto" w:fill="FFFFFF"/>
        <w:spacing w:before="0" w:beforeAutospacing="0" w:after="0" w:afterAutospacing="0"/>
        <w:ind w:firstLine="1080"/>
        <w:jc w:val="both"/>
        <w:rPr>
          <w:color w:val="323130"/>
          <w:bdr w:val="none" w:sz="0" w:space="0" w:color="auto" w:frame="1"/>
          <w:lang w:val="lt-LT"/>
        </w:rPr>
      </w:pPr>
      <w:r w:rsidRPr="00F444E2">
        <w:rPr>
          <w:color w:val="000000"/>
          <w:lang w:val="lt-LT"/>
        </w:rPr>
        <w:tab/>
        <w:t>Pažymėtina, kad esant Įstatymo 9</w:t>
      </w:r>
      <w:r w:rsidRPr="00F444E2">
        <w:rPr>
          <w:color w:val="000000"/>
          <w:vertAlign w:val="superscript"/>
          <w:lang w:val="lt-LT"/>
        </w:rPr>
        <w:t xml:space="preserve">1 </w:t>
      </w:r>
      <w:r w:rsidRPr="00F444E2">
        <w:rPr>
          <w:color w:val="000000"/>
          <w:lang w:val="lt-LT"/>
        </w:rPr>
        <w:t xml:space="preserve">str. 4 d. numatytoms sąlygoms, mokėtinas atlyginimas gali siekti 75 proc. vidutinės valstybinės žemės sklypo ar jo dalies rinkos vertės, kuri miestuose </w:t>
      </w:r>
      <w:r w:rsidR="001A1D47" w:rsidRPr="00F444E2">
        <w:rPr>
          <w:color w:val="000000"/>
          <w:lang w:val="lt-LT"/>
        </w:rPr>
        <w:t xml:space="preserve">(ypač didžiuosiuose) </w:t>
      </w:r>
      <w:r w:rsidRPr="00F444E2">
        <w:rPr>
          <w:color w:val="000000"/>
          <w:lang w:val="lt-LT"/>
        </w:rPr>
        <w:t xml:space="preserve">yra labai </w:t>
      </w:r>
      <w:r w:rsidR="001A1D47" w:rsidRPr="00F444E2">
        <w:rPr>
          <w:color w:val="000000"/>
          <w:lang w:val="lt-LT"/>
        </w:rPr>
        <w:t>brangi</w:t>
      </w:r>
      <w:r w:rsidRPr="00F444E2">
        <w:rPr>
          <w:color w:val="000000"/>
          <w:lang w:val="lt-LT"/>
        </w:rPr>
        <w:t>. Svarbu pastebėti, kad</w:t>
      </w:r>
      <w:r w:rsidR="001A1D47" w:rsidRPr="00F444E2">
        <w:rPr>
          <w:color w:val="000000"/>
          <w:lang w:val="lt-LT"/>
        </w:rPr>
        <w:t>,</w:t>
      </w:r>
      <w:r w:rsidRPr="00F444E2">
        <w:rPr>
          <w:color w:val="000000"/>
          <w:lang w:val="lt-LT"/>
        </w:rPr>
        <w:t xml:space="preserve"> esant tokio dydžio atlyginimui už žemės panaudojimą viešajai paslaugai teikti</w:t>
      </w:r>
      <w:r w:rsidR="001A1D47" w:rsidRPr="00F444E2">
        <w:rPr>
          <w:color w:val="000000"/>
          <w:lang w:val="lt-LT"/>
        </w:rPr>
        <w:t xml:space="preserve">, </w:t>
      </w:r>
      <w:r w:rsidRPr="00F444E2">
        <w:rPr>
          <w:color w:val="000000"/>
          <w:lang w:val="lt-LT"/>
        </w:rPr>
        <w:t xml:space="preserve">kai kuriais atvejais </w:t>
      </w:r>
      <w:r w:rsidR="00634862" w:rsidRPr="00F444E2">
        <w:rPr>
          <w:color w:val="000000"/>
          <w:lang w:val="lt-LT"/>
        </w:rPr>
        <w:t xml:space="preserve">jis </w:t>
      </w:r>
      <w:r w:rsidRPr="00F444E2">
        <w:rPr>
          <w:color w:val="000000"/>
          <w:lang w:val="lt-LT"/>
        </w:rPr>
        <w:t>gali du ar daugiau kartų viršyti vykdomo projekto kainą. Pabrėžtina, kad tokio dydžio mokesčio taikymas subjektui, kuris siekia tinkamai įgyvendinti Lietuvos Respublikos atsinaujinančių išteklių energetikos įstatymo tikslus, yra nepakeliamas ir užkerta kelią siekti atsinaujinančių energetikos šaltinių panaudojimo ir aplinką tausojančių technologijų vystymo</w:t>
      </w:r>
      <w:r w:rsidR="00634862" w:rsidRPr="00F444E2">
        <w:rPr>
          <w:color w:val="000000"/>
          <w:lang w:val="lt-LT"/>
        </w:rPr>
        <w:t xml:space="preserve"> proveržio</w:t>
      </w:r>
      <w:r w:rsidRPr="00F444E2">
        <w:rPr>
          <w:color w:val="000000"/>
          <w:lang w:val="lt-LT"/>
        </w:rPr>
        <w:t xml:space="preserve">, dėl neproporcingai </w:t>
      </w:r>
      <w:r w:rsidR="00634862" w:rsidRPr="00F444E2">
        <w:rPr>
          <w:color w:val="000000"/>
          <w:lang w:val="lt-LT"/>
        </w:rPr>
        <w:t>išbrangstančių</w:t>
      </w:r>
      <w:r w:rsidRPr="00F444E2">
        <w:rPr>
          <w:color w:val="000000"/>
          <w:lang w:val="lt-LT"/>
        </w:rPr>
        <w:t xml:space="preserve"> projektų. Pavyzdžiui, vienas </w:t>
      </w:r>
      <w:r w:rsidR="00634862" w:rsidRPr="00F444E2">
        <w:rPr>
          <w:color w:val="000000"/>
          <w:lang w:val="lt-LT"/>
        </w:rPr>
        <w:t xml:space="preserve">iš šilumos tiekėjų </w:t>
      </w:r>
      <w:r w:rsidRPr="00F444E2">
        <w:rPr>
          <w:color w:val="000000"/>
          <w:lang w:val="lt-LT"/>
        </w:rPr>
        <w:t xml:space="preserve">nurodė, kad </w:t>
      </w:r>
      <w:r w:rsidRPr="00F444E2">
        <w:rPr>
          <w:color w:val="323130"/>
          <w:shd w:val="clear" w:color="auto" w:fill="FFFFFF"/>
          <w:lang w:val="lt-LT"/>
        </w:rPr>
        <w:t xml:space="preserve">Nacionalinei žemės tarnybai (toliau – NŽT) pateikė prašymą atlikti šio mokesčio skaičiavimus, tačiau kartu statytojas privalo pateikti ir visas tame žemės sklype esančių statinių kadastro bylas,  tikslintas ne seniau kaip prieš 2 metus. </w:t>
      </w:r>
      <w:r w:rsidR="00634862" w:rsidRPr="00F444E2">
        <w:rPr>
          <w:color w:val="323130"/>
          <w:shd w:val="clear" w:color="auto" w:fill="FFFFFF"/>
          <w:lang w:val="lt-LT"/>
        </w:rPr>
        <w:t>V</w:t>
      </w:r>
      <w:r w:rsidRPr="00F444E2">
        <w:rPr>
          <w:color w:val="323130"/>
          <w:shd w:val="clear" w:color="auto" w:fill="FFFFFF"/>
          <w:lang w:val="lt-LT"/>
        </w:rPr>
        <w:t xml:space="preserve">iename iš žemės sklypų yra virš 40 registruotų statinių, kuriems pagal šiuo metu galiojančius reikalavimus turėtų atnaujinti kadastro bylas. Minėtą užsakymą matininkai geriausiu atveju atliktų tik per pusę metų ar net ilgiau. Taip pat svarbu paminėti, kad </w:t>
      </w:r>
      <w:r w:rsidR="00634862" w:rsidRPr="00F444E2">
        <w:rPr>
          <w:color w:val="323130"/>
          <w:shd w:val="clear" w:color="auto" w:fill="FFFFFF"/>
          <w:lang w:val="lt-LT"/>
        </w:rPr>
        <w:t>vykdomi ir kiti</w:t>
      </w:r>
      <w:r w:rsidRPr="00F444E2">
        <w:rPr>
          <w:color w:val="323130"/>
          <w:shd w:val="clear" w:color="auto" w:fill="FFFFFF"/>
          <w:lang w:val="lt-LT"/>
        </w:rPr>
        <w:t xml:space="preserve"> projekt</w:t>
      </w:r>
      <w:r w:rsidR="00634862" w:rsidRPr="00F444E2">
        <w:rPr>
          <w:color w:val="323130"/>
          <w:shd w:val="clear" w:color="auto" w:fill="FFFFFF"/>
          <w:lang w:val="lt-LT"/>
        </w:rPr>
        <w:t>ai</w:t>
      </w:r>
      <w:r w:rsidRPr="00F444E2">
        <w:rPr>
          <w:color w:val="323130"/>
          <w:shd w:val="clear" w:color="auto" w:fill="FFFFFF"/>
          <w:lang w:val="lt-LT"/>
        </w:rPr>
        <w:t>, susij</w:t>
      </w:r>
      <w:r w:rsidR="00634862" w:rsidRPr="00F444E2">
        <w:rPr>
          <w:color w:val="323130"/>
          <w:shd w:val="clear" w:color="auto" w:fill="FFFFFF"/>
          <w:lang w:val="lt-LT"/>
        </w:rPr>
        <w:t>ę</w:t>
      </w:r>
      <w:r w:rsidRPr="00F444E2">
        <w:rPr>
          <w:color w:val="323130"/>
          <w:shd w:val="clear" w:color="auto" w:fill="FFFFFF"/>
          <w:lang w:val="lt-LT"/>
        </w:rPr>
        <w:t xml:space="preserve"> su šilumos ūkio statinių ir įrenginių statyba bei rekonstravimu. Dauguma jų turi būti įgyvendinti pačiu artimiausiu metu. Du projektai skirtingose miesto dalyse yra parengti ir paruošti statybų leidimų išėmimui, tačiau to padaryti</w:t>
      </w:r>
      <w:r w:rsidR="00634862" w:rsidRPr="00F444E2">
        <w:rPr>
          <w:color w:val="323130"/>
          <w:shd w:val="clear" w:color="auto" w:fill="FFFFFF"/>
          <w:lang w:val="lt-LT"/>
        </w:rPr>
        <w:t xml:space="preserve"> minėtas šilumos tiekėjas</w:t>
      </w:r>
      <w:r w:rsidRPr="00F444E2">
        <w:rPr>
          <w:color w:val="323130"/>
          <w:shd w:val="clear" w:color="auto" w:fill="FFFFFF"/>
          <w:lang w:val="lt-LT"/>
        </w:rPr>
        <w:t xml:space="preserve"> negali, nes dabar privalo atlikti visų savo statinių inventorizavimą, atnaujinant jų kadastro bylas bei sumokėti didžiulius (neplanuotus</w:t>
      </w:r>
      <w:r w:rsidR="00634862" w:rsidRPr="00F444E2">
        <w:rPr>
          <w:color w:val="323130"/>
          <w:shd w:val="clear" w:color="auto" w:fill="FFFFFF"/>
          <w:lang w:val="lt-LT"/>
        </w:rPr>
        <w:t xml:space="preserve"> ir nesuderintus</w:t>
      </w:r>
      <w:r w:rsidRPr="00F444E2">
        <w:rPr>
          <w:color w:val="323130"/>
          <w:shd w:val="clear" w:color="auto" w:fill="FFFFFF"/>
          <w:lang w:val="lt-LT"/>
        </w:rPr>
        <w:t>) mokesčius. Pavyzdžiui</w:t>
      </w:r>
      <w:r w:rsidR="00634862" w:rsidRPr="00F444E2">
        <w:rPr>
          <w:color w:val="323130"/>
          <w:shd w:val="clear" w:color="auto" w:fill="FFFFFF"/>
          <w:lang w:val="lt-LT"/>
        </w:rPr>
        <w:t>,</w:t>
      </w:r>
      <w:r w:rsidRPr="00F444E2">
        <w:rPr>
          <w:color w:val="323130"/>
          <w:shd w:val="clear" w:color="auto" w:fill="FFFFFF"/>
          <w:lang w:val="lt-LT"/>
        </w:rPr>
        <w:t xml:space="preserve"> už </w:t>
      </w:r>
      <w:proofErr w:type="spellStart"/>
      <w:r w:rsidRPr="00F444E2">
        <w:rPr>
          <w:color w:val="323130"/>
          <w:shd w:val="clear" w:color="auto" w:fill="FFFFFF"/>
          <w:lang w:val="lt-LT"/>
        </w:rPr>
        <w:t>hidroužtvaros</w:t>
      </w:r>
      <w:proofErr w:type="spellEnd"/>
      <w:r w:rsidRPr="00F444E2">
        <w:rPr>
          <w:color w:val="323130"/>
          <w:shd w:val="clear" w:color="auto" w:fill="FFFFFF"/>
          <w:lang w:val="lt-LT"/>
        </w:rPr>
        <w:t xml:space="preserve"> </w:t>
      </w:r>
      <w:r w:rsidRPr="00F444E2">
        <w:rPr>
          <w:b/>
          <w:bCs/>
          <w:i/>
          <w:iCs/>
          <w:color w:val="323130"/>
          <w:u w:val="single"/>
          <w:shd w:val="clear" w:color="auto" w:fill="FFFFFF"/>
          <w:lang w:val="lt-LT"/>
        </w:rPr>
        <w:t>rekonstravimą</w:t>
      </w:r>
      <w:r w:rsidRPr="00F444E2">
        <w:rPr>
          <w:color w:val="323130"/>
          <w:shd w:val="clear" w:color="auto" w:fill="FFFFFF"/>
          <w:lang w:val="lt-LT"/>
        </w:rPr>
        <w:t xml:space="preserve">  vienam </w:t>
      </w:r>
      <w:r w:rsidR="00634862" w:rsidRPr="00F444E2">
        <w:rPr>
          <w:color w:val="323130"/>
          <w:shd w:val="clear" w:color="auto" w:fill="FFFFFF"/>
          <w:lang w:val="lt-LT"/>
        </w:rPr>
        <w:t>konkrečiam šilumos tiekėjui</w:t>
      </w:r>
      <w:r w:rsidRPr="00F444E2">
        <w:rPr>
          <w:color w:val="323130"/>
          <w:shd w:val="clear" w:color="auto" w:fill="FFFFFF"/>
          <w:lang w:val="lt-LT"/>
        </w:rPr>
        <w:t xml:space="preserve"> reiktų sumokėti apie 100 tūkst. eurų</w:t>
      </w:r>
      <w:r w:rsidR="001F3670" w:rsidRPr="00F444E2">
        <w:rPr>
          <w:color w:val="323130"/>
          <w:shd w:val="clear" w:color="auto" w:fill="FFFFFF"/>
          <w:lang w:val="lt-LT"/>
        </w:rPr>
        <w:t>, o</w:t>
      </w:r>
      <w:r w:rsidRPr="00F444E2">
        <w:rPr>
          <w:color w:val="323130"/>
          <w:shd w:val="clear" w:color="auto" w:fill="FFFFFF"/>
          <w:lang w:val="lt-LT"/>
        </w:rPr>
        <w:t xml:space="preserve"> už 100 kW saulės energijos elektrinę, NŽT pateiktu paskaičiavimu - 181 500,00 Eur, kai pačios elektrinės kaina</w:t>
      </w:r>
      <w:r w:rsidR="00634862" w:rsidRPr="00F444E2">
        <w:rPr>
          <w:color w:val="323130"/>
          <w:shd w:val="clear" w:color="auto" w:fill="FFFFFF"/>
          <w:lang w:val="lt-LT"/>
        </w:rPr>
        <w:t xml:space="preserve"> –</w:t>
      </w:r>
      <w:r w:rsidRPr="00F444E2">
        <w:rPr>
          <w:color w:val="323130"/>
          <w:shd w:val="clear" w:color="auto" w:fill="FFFFFF"/>
          <w:lang w:val="lt-LT"/>
        </w:rPr>
        <w:t xml:space="preserve"> 74 tūkst. Eur. Tą pati įmonė </w:t>
      </w:r>
      <w:r w:rsidRPr="00F444E2">
        <w:rPr>
          <w:color w:val="323130"/>
          <w:shd w:val="clear" w:color="auto" w:fill="FFFFFF"/>
          <w:lang w:val="lt-LT"/>
        </w:rPr>
        <w:lastRenderedPageBreak/>
        <w:t xml:space="preserve">šiuo metu planuoja naujas statybas, </w:t>
      </w:r>
      <w:r w:rsidRPr="00F444E2">
        <w:rPr>
          <w:b/>
          <w:bCs/>
          <w:i/>
          <w:iCs/>
          <w:color w:val="323130"/>
          <w:u w:val="single"/>
          <w:bdr w:val="none" w:sz="0" w:space="0" w:color="auto" w:frame="1"/>
          <w:lang w:val="lt-LT"/>
        </w:rPr>
        <w:t>minimali suma</w:t>
      </w:r>
      <w:r w:rsidRPr="00F444E2">
        <w:rPr>
          <w:color w:val="323130"/>
          <w:bdr w:val="none" w:sz="0" w:space="0" w:color="auto" w:frame="1"/>
          <w:lang w:val="lt-LT"/>
        </w:rPr>
        <w:t xml:space="preserve">, kurią turėtų sumokėti už teisę statyti šiame sklype yra 605 tūkst. eurų (nes šio žemės sklypo rinkos kaina VĮ </w:t>
      </w:r>
      <w:r w:rsidRPr="00F444E2">
        <w:rPr>
          <w:rFonts w:ascii="Arial" w:hAnsi="Arial" w:cs="Arial"/>
          <w:color w:val="4D5156"/>
          <w:sz w:val="21"/>
          <w:szCs w:val="21"/>
          <w:shd w:val="clear" w:color="auto" w:fill="FFFFFF"/>
          <w:lang w:val="lt-LT"/>
        </w:rPr>
        <w:t>„</w:t>
      </w:r>
      <w:r w:rsidRPr="00F444E2">
        <w:rPr>
          <w:color w:val="323130"/>
          <w:bdr w:val="none" w:sz="0" w:space="0" w:color="auto" w:frame="1"/>
          <w:lang w:val="lt-LT"/>
        </w:rPr>
        <w:t xml:space="preserve">Regitrų” centro duomenų banko išrašuose nurodyta 6,05 mln. Eurų).  </w:t>
      </w:r>
    </w:p>
    <w:p w14:paraId="2ED86C0D" w14:textId="77777777" w:rsidR="007F597E" w:rsidRPr="00F444E2" w:rsidRDefault="007F597E" w:rsidP="001F3670">
      <w:pPr>
        <w:tabs>
          <w:tab w:val="left" w:pos="1164"/>
        </w:tabs>
        <w:spacing w:after="0" w:line="240" w:lineRule="auto"/>
        <w:jc w:val="both"/>
        <w:rPr>
          <w:rFonts w:ascii="Times New Roman" w:hAnsi="Times New Roman" w:cs="Times New Roman"/>
          <w:color w:val="000000"/>
          <w:sz w:val="24"/>
          <w:szCs w:val="24"/>
        </w:rPr>
      </w:pPr>
      <w:r w:rsidRPr="00F444E2">
        <w:rPr>
          <w:rFonts w:ascii="Times New Roman" w:hAnsi="Times New Roman" w:cs="Times New Roman"/>
          <w:color w:val="000000"/>
          <w:sz w:val="24"/>
          <w:szCs w:val="24"/>
        </w:rPr>
        <w:tab/>
        <w:t xml:space="preserve">Įstatymo </w:t>
      </w:r>
      <w:r w:rsidRPr="00F444E2">
        <w:rPr>
          <w:rFonts w:ascii="Times New Roman" w:hAnsi="Times New Roman" w:cs="Times New Roman"/>
          <w:b/>
          <w:bCs/>
          <w:i/>
          <w:iCs/>
          <w:color w:val="000000"/>
          <w:sz w:val="24"/>
          <w:szCs w:val="24"/>
          <w:u w:val="single"/>
        </w:rPr>
        <w:t>9</w:t>
      </w:r>
      <w:r w:rsidRPr="00F444E2">
        <w:rPr>
          <w:rFonts w:ascii="Times New Roman" w:hAnsi="Times New Roman" w:cs="Times New Roman"/>
          <w:b/>
          <w:bCs/>
          <w:i/>
          <w:iCs/>
          <w:color w:val="000000"/>
          <w:sz w:val="24"/>
          <w:szCs w:val="24"/>
          <w:u w:val="single"/>
          <w:vertAlign w:val="superscript"/>
        </w:rPr>
        <w:t>1</w:t>
      </w:r>
      <w:r w:rsidRPr="00F444E2">
        <w:rPr>
          <w:rFonts w:ascii="Times New Roman" w:hAnsi="Times New Roman" w:cs="Times New Roman"/>
          <w:b/>
          <w:bCs/>
          <w:i/>
          <w:iCs/>
          <w:color w:val="000000"/>
          <w:sz w:val="24"/>
          <w:szCs w:val="24"/>
          <w:u w:val="single"/>
        </w:rPr>
        <w:t> str. 3 d. 1 p. numato, kad „</w:t>
      </w:r>
      <w:r w:rsidRPr="00F444E2">
        <w:rPr>
          <w:rFonts w:ascii="Times New Roman" w:hAnsi="Times New Roman" w:cs="Times New Roman"/>
          <w:i/>
          <w:iCs/>
          <w:color w:val="000000"/>
          <w:sz w:val="24"/>
          <w:szCs w:val="24"/>
        </w:rPr>
        <w:t xml:space="preserve">kai statomo naujo ir (ar) rekonstruojamo esamo statinio ar įrenginio juo užstatytas žemės plotas nedidėja arba sumažėja, palyginti su iki statybos ir (ar) rekonstravimo esamu Nekilnojamojo turto registre pagrindiniu daiktu įregistruotu statiniu ar įrenginiu užstatytu plotu, ir (ar) po statybos ir (ar) rekonstravimo statinio ar įrenginio bendras plotas nedidėja arba sumažėja, palyginti su iki statybos ir (ar) rekonstravimo esamo Nekilnojamojo turto registre pagrindiniu daiktu įregistruoto statinio ar įrenginio bendru plotu, – sumą, lygią 5 procentams vidutinės valstybinės žemės sklypo ar jo dalies rinkos vertės, apskaičiuotos atliekant valstybinės žemės sklypo vertinimą masiniu būdu Vyriausybės nustatyta tvarka“. </w:t>
      </w:r>
      <w:r w:rsidRPr="00F444E2">
        <w:rPr>
          <w:rFonts w:ascii="Times New Roman" w:hAnsi="Times New Roman" w:cs="Times New Roman"/>
          <w:color w:val="000000"/>
          <w:sz w:val="24"/>
          <w:szCs w:val="24"/>
        </w:rPr>
        <w:t xml:space="preserve">Šio straipsnio nuostata galimai neatitinka teisingumo, protingumo ir sąžiningumo kriterijų (Civilinio Kodekso 1.5 str.), kadangi net mažėjant užstatytam plotui atsiradusi prievolė sumokėti rinkliavą niekur neišnyksta. Taip pat šiame Įstatyme nėra numatytos išimtys, kuomet juridiniai ar fiziniai asmenys būtų dalinai ar pilnai atleisti nuo šių mokesčių. </w:t>
      </w:r>
    </w:p>
    <w:p w14:paraId="3FB5EB0A" w14:textId="59E9BEC8" w:rsidR="007F597E" w:rsidRPr="00F444E2" w:rsidRDefault="007F597E" w:rsidP="001F3670">
      <w:pPr>
        <w:tabs>
          <w:tab w:val="left" w:pos="1164"/>
        </w:tabs>
        <w:spacing w:after="0" w:line="240" w:lineRule="auto"/>
        <w:jc w:val="both"/>
        <w:rPr>
          <w:rFonts w:ascii="Times New Roman" w:hAnsi="Times New Roman" w:cs="Times New Roman"/>
          <w:i/>
          <w:iCs/>
          <w:color w:val="000000"/>
          <w:sz w:val="24"/>
          <w:szCs w:val="24"/>
          <w:u w:val="single"/>
        </w:rPr>
      </w:pPr>
      <w:r w:rsidRPr="00F444E2">
        <w:rPr>
          <w:rFonts w:ascii="Times New Roman" w:hAnsi="Times New Roman" w:cs="Times New Roman"/>
          <w:color w:val="000000"/>
          <w:sz w:val="24"/>
          <w:szCs w:val="24"/>
        </w:rPr>
        <w:tab/>
        <w:t>Įvertinus tai, kas išdėstyta, Asociacij</w:t>
      </w:r>
      <w:r w:rsidR="00634862" w:rsidRPr="00F444E2">
        <w:rPr>
          <w:rFonts w:ascii="Times New Roman" w:hAnsi="Times New Roman" w:cs="Times New Roman"/>
          <w:color w:val="000000"/>
          <w:sz w:val="24"/>
          <w:szCs w:val="24"/>
        </w:rPr>
        <w:t xml:space="preserve">a </w:t>
      </w:r>
      <w:r w:rsidRPr="00F444E2">
        <w:rPr>
          <w:rFonts w:ascii="Times New Roman" w:hAnsi="Times New Roman" w:cs="Times New Roman"/>
          <w:color w:val="000000"/>
          <w:sz w:val="24"/>
          <w:szCs w:val="24"/>
        </w:rPr>
        <w:t xml:space="preserve">skubos tvarka siūlo papildyti </w:t>
      </w:r>
      <w:r w:rsidR="00634862" w:rsidRPr="00F444E2">
        <w:rPr>
          <w:rFonts w:ascii="Times New Roman" w:hAnsi="Times New Roman" w:cs="Times New Roman"/>
          <w:color w:val="000000"/>
          <w:sz w:val="24"/>
          <w:szCs w:val="24"/>
        </w:rPr>
        <w:t xml:space="preserve">Įstatymo </w:t>
      </w:r>
      <w:r w:rsidRPr="00F444E2">
        <w:rPr>
          <w:rFonts w:ascii="Times New Roman" w:hAnsi="Times New Roman" w:cs="Times New Roman"/>
          <w:color w:val="000000"/>
          <w:sz w:val="24"/>
          <w:szCs w:val="24"/>
        </w:rPr>
        <w:t>9</w:t>
      </w:r>
      <w:r w:rsidRPr="00F444E2">
        <w:rPr>
          <w:rFonts w:ascii="Times New Roman" w:hAnsi="Times New Roman" w:cs="Times New Roman"/>
          <w:color w:val="000000"/>
          <w:sz w:val="24"/>
          <w:szCs w:val="24"/>
          <w:vertAlign w:val="superscript"/>
        </w:rPr>
        <w:t xml:space="preserve">1 </w:t>
      </w:r>
      <w:r w:rsidRPr="00F444E2">
        <w:rPr>
          <w:rFonts w:ascii="Times New Roman" w:hAnsi="Times New Roman" w:cs="Times New Roman"/>
          <w:color w:val="000000"/>
          <w:sz w:val="24"/>
          <w:szCs w:val="24"/>
        </w:rPr>
        <w:t xml:space="preserve">str. 7 d. tokia formuluote: </w:t>
      </w:r>
      <w:r w:rsidRPr="00F444E2">
        <w:rPr>
          <w:rFonts w:ascii="Times New Roman" w:hAnsi="Times New Roman" w:cs="Times New Roman"/>
          <w:i/>
          <w:iCs/>
          <w:color w:val="000000"/>
          <w:sz w:val="24"/>
          <w:szCs w:val="24"/>
          <w:u w:val="single"/>
        </w:rPr>
        <w:t xml:space="preserve">Pastatų atnaujinimui (modernizavimui) pagal Lietuvos Respublikos valstybės paramos daugiabučiams namams atnaujinti (modernizuoti) įstatymą </w:t>
      </w:r>
      <w:r w:rsidRPr="00F444E2">
        <w:rPr>
          <w:rFonts w:ascii="Times New Roman" w:hAnsi="Times New Roman" w:cs="Times New Roman"/>
          <w:b/>
          <w:bCs/>
          <w:i/>
          <w:iCs/>
          <w:color w:val="000000"/>
          <w:sz w:val="24"/>
          <w:szCs w:val="24"/>
          <w:u w:val="single"/>
        </w:rPr>
        <w:t>ir viešąsias paslaugas teikiančioms valstybės ir savivaldybių įmonėms</w:t>
      </w:r>
      <w:r w:rsidRPr="00F444E2">
        <w:rPr>
          <w:rFonts w:ascii="Times New Roman" w:hAnsi="Times New Roman" w:cs="Times New Roman"/>
          <w:i/>
          <w:iCs/>
          <w:color w:val="000000"/>
          <w:sz w:val="24"/>
          <w:szCs w:val="24"/>
          <w:u w:val="single"/>
        </w:rPr>
        <w:t xml:space="preserve"> šis straipsnis netaikomas.</w:t>
      </w:r>
    </w:p>
    <w:p w14:paraId="4106C0F0" w14:textId="77777777" w:rsidR="007F597E" w:rsidRPr="00F444E2" w:rsidRDefault="007F597E" w:rsidP="001F3670">
      <w:pPr>
        <w:tabs>
          <w:tab w:val="left" w:pos="1164"/>
        </w:tabs>
        <w:spacing w:after="0" w:line="240" w:lineRule="auto"/>
        <w:jc w:val="both"/>
        <w:rPr>
          <w:rFonts w:ascii="Times New Roman" w:hAnsi="Times New Roman" w:cs="Times New Roman"/>
          <w:color w:val="000000"/>
          <w:sz w:val="24"/>
          <w:szCs w:val="24"/>
        </w:rPr>
      </w:pPr>
      <w:r w:rsidRPr="00F444E2">
        <w:rPr>
          <w:rFonts w:ascii="Times New Roman" w:hAnsi="Times New Roman" w:cs="Times New Roman"/>
          <w:color w:val="000000"/>
          <w:sz w:val="24"/>
          <w:szCs w:val="24"/>
        </w:rPr>
        <w:tab/>
        <w:t xml:space="preserve">Asociacija taip pat pažymi, kad šilumos tiekimo įmonės užtikrina būtinąją paslaugą – šildymą ir karšto vandens tiekimą. Šios veiklos – reguliuojamos valstybės, todėl visos būtinos sąnaudos įskaičiuojamos į šilumos kainą jos vartotojams. Kai kuriais atvejais žemės mokestis, kai kuriose savivaldybėse dėl to gali lemti ir šilumos vieneto kainos reikšmingą padidėjimą. Didesnės šilumos kainos didina išmokas nepasiturintiems gyventojams bei PVM kompensacijas, didėja biudžetinių įstaigų išlaidos šildymui. </w:t>
      </w:r>
    </w:p>
    <w:p w14:paraId="612B23DE" w14:textId="77777777" w:rsidR="00634862" w:rsidRPr="00F444E2" w:rsidRDefault="00634862" w:rsidP="001F3670">
      <w:pPr>
        <w:tabs>
          <w:tab w:val="left" w:pos="1164"/>
        </w:tabs>
        <w:spacing w:after="0" w:line="240" w:lineRule="auto"/>
        <w:jc w:val="both"/>
        <w:rPr>
          <w:rFonts w:ascii="Times New Roman" w:hAnsi="Times New Roman" w:cs="Times New Roman"/>
          <w:color w:val="000000"/>
          <w:sz w:val="24"/>
          <w:szCs w:val="24"/>
        </w:rPr>
      </w:pPr>
      <w:r w:rsidRPr="00F444E2">
        <w:rPr>
          <w:rFonts w:ascii="Times New Roman" w:hAnsi="Times New Roman" w:cs="Times New Roman"/>
          <w:color w:val="000000"/>
          <w:sz w:val="24"/>
          <w:szCs w:val="24"/>
        </w:rPr>
        <w:tab/>
      </w:r>
      <w:r w:rsidR="007F597E" w:rsidRPr="00F444E2">
        <w:rPr>
          <w:rFonts w:ascii="Times New Roman" w:hAnsi="Times New Roman" w:cs="Times New Roman"/>
          <w:color w:val="000000"/>
          <w:sz w:val="24"/>
          <w:szCs w:val="24"/>
        </w:rPr>
        <w:t xml:space="preserve">Investiciniai projektai šilumos ūkyje turi būti suderinti su savivaldybe ir energetikos reguliatoriumi. Pagal galiojančią tvarką, jeigu investicinis projektas didina šilumos tiekimo  sąnaudas, jo įgyvendinimas neleidžiamas. Išskyrus atvejį, kai tai daroma dėl šilumos tiekimo patikimumo.  </w:t>
      </w:r>
    </w:p>
    <w:p w14:paraId="06A87687" w14:textId="1D8E7C84" w:rsidR="007F597E" w:rsidRPr="00F444E2" w:rsidRDefault="00634862" w:rsidP="001F3670">
      <w:pPr>
        <w:tabs>
          <w:tab w:val="left" w:pos="1164"/>
        </w:tabs>
        <w:spacing w:after="0" w:line="240" w:lineRule="auto"/>
        <w:jc w:val="both"/>
        <w:rPr>
          <w:rFonts w:ascii="Times New Roman" w:hAnsi="Times New Roman" w:cs="Times New Roman"/>
          <w:color w:val="000000"/>
          <w:sz w:val="24"/>
          <w:szCs w:val="24"/>
        </w:rPr>
      </w:pPr>
      <w:r w:rsidRPr="00F444E2">
        <w:rPr>
          <w:rFonts w:ascii="Times New Roman" w:hAnsi="Times New Roman" w:cs="Times New Roman"/>
          <w:color w:val="000000"/>
          <w:sz w:val="24"/>
          <w:szCs w:val="24"/>
        </w:rPr>
        <w:tab/>
      </w:r>
      <w:r w:rsidR="007F597E" w:rsidRPr="00F444E2">
        <w:rPr>
          <w:rFonts w:ascii="Times New Roman" w:hAnsi="Times New Roman" w:cs="Times New Roman"/>
          <w:color w:val="000000"/>
          <w:sz w:val="24"/>
          <w:szCs w:val="24"/>
        </w:rPr>
        <w:t>Asociacija siekia konstruktyvaus bendradarbiavimo, todėl aktyviai prisidėtų prie įstatymo projekto rengimo ir pateiktų papildomą informaciją, esant reikalui.</w:t>
      </w:r>
    </w:p>
    <w:p w14:paraId="7E4B8DDF" w14:textId="338E8D83" w:rsidR="00634862" w:rsidRPr="00F444E2" w:rsidRDefault="00634862" w:rsidP="001F3670">
      <w:pPr>
        <w:tabs>
          <w:tab w:val="left" w:pos="1164"/>
        </w:tabs>
        <w:spacing w:after="0" w:line="240" w:lineRule="auto"/>
        <w:jc w:val="both"/>
        <w:rPr>
          <w:rFonts w:ascii="Times New Roman" w:hAnsi="Times New Roman" w:cs="Times New Roman"/>
          <w:color w:val="000000"/>
          <w:sz w:val="24"/>
          <w:szCs w:val="24"/>
        </w:rPr>
      </w:pPr>
    </w:p>
    <w:p w14:paraId="7ED7AAD6" w14:textId="5021B532" w:rsidR="00634862" w:rsidRPr="00F444E2" w:rsidRDefault="00634862" w:rsidP="001F3670">
      <w:pPr>
        <w:tabs>
          <w:tab w:val="left" w:pos="1164"/>
        </w:tabs>
        <w:spacing w:after="0" w:line="240" w:lineRule="auto"/>
        <w:jc w:val="both"/>
        <w:rPr>
          <w:rFonts w:ascii="Times New Roman" w:hAnsi="Times New Roman" w:cs="Times New Roman"/>
          <w:color w:val="000000"/>
          <w:sz w:val="24"/>
          <w:szCs w:val="24"/>
        </w:rPr>
      </w:pPr>
    </w:p>
    <w:p w14:paraId="38311B2D" w14:textId="4EEC6949" w:rsidR="00BB5516" w:rsidRPr="00F444E2" w:rsidRDefault="00BB5516" w:rsidP="001F3670">
      <w:pPr>
        <w:tabs>
          <w:tab w:val="left" w:pos="1164"/>
        </w:tabs>
        <w:spacing w:after="0" w:line="240" w:lineRule="auto"/>
        <w:jc w:val="both"/>
        <w:rPr>
          <w:rFonts w:ascii="Times New Roman" w:hAnsi="Times New Roman" w:cs="Times New Roman"/>
          <w:color w:val="000000"/>
          <w:sz w:val="24"/>
          <w:szCs w:val="24"/>
        </w:rPr>
      </w:pPr>
    </w:p>
    <w:p w14:paraId="5E8FEA7D" w14:textId="77777777" w:rsidR="00BB5516" w:rsidRPr="00F444E2" w:rsidRDefault="00BB5516" w:rsidP="001F3670">
      <w:pPr>
        <w:tabs>
          <w:tab w:val="left" w:pos="1164"/>
        </w:tabs>
        <w:spacing w:after="0" w:line="240" w:lineRule="auto"/>
        <w:jc w:val="both"/>
        <w:rPr>
          <w:rFonts w:ascii="Times New Roman" w:hAnsi="Times New Roman" w:cs="Times New Roman"/>
          <w:color w:val="000000"/>
          <w:sz w:val="24"/>
          <w:szCs w:val="24"/>
        </w:rPr>
      </w:pPr>
    </w:p>
    <w:p w14:paraId="1C251839" w14:textId="77777777" w:rsidR="001F3670" w:rsidRPr="00F444E2" w:rsidRDefault="001F3670" w:rsidP="001F3670">
      <w:pPr>
        <w:tabs>
          <w:tab w:val="left" w:pos="1164"/>
        </w:tabs>
        <w:spacing w:after="0" w:line="240" w:lineRule="auto"/>
        <w:jc w:val="both"/>
        <w:rPr>
          <w:rFonts w:ascii="Times New Roman" w:hAnsi="Times New Roman" w:cs="Times New Roman"/>
          <w:color w:val="000000"/>
          <w:sz w:val="24"/>
          <w:szCs w:val="24"/>
        </w:rPr>
      </w:pPr>
    </w:p>
    <w:p w14:paraId="07D7C4E1" w14:textId="77777777" w:rsidR="007F597E" w:rsidRPr="00F444E2" w:rsidRDefault="007F597E" w:rsidP="001F3670">
      <w:pPr>
        <w:tabs>
          <w:tab w:val="left" w:pos="1164"/>
        </w:tabs>
        <w:spacing w:line="240" w:lineRule="auto"/>
        <w:jc w:val="both"/>
        <w:rPr>
          <w:rFonts w:ascii="Times New Roman" w:hAnsi="Times New Roman" w:cs="Times New Roman"/>
          <w:color w:val="000000"/>
          <w:sz w:val="24"/>
          <w:szCs w:val="24"/>
        </w:rPr>
      </w:pPr>
    </w:p>
    <w:p w14:paraId="7BA8A92D" w14:textId="32C1C230" w:rsidR="007F597E" w:rsidRPr="00F444E2" w:rsidRDefault="00634862" w:rsidP="001F3670">
      <w:pPr>
        <w:tabs>
          <w:tab w:val="left" w:pos="1164"/>
        </w:tabs>
        <w:spacing w:line="240" w:lineRule="auto"/>
        <w:jc w:val="both"/>
        <w:rPr>
          <w:rFonts w:ascii="Times New Roman" w:hAnsi="Times New Roman" w:cs="Times New Roman"/>
          <w:color w:val="000000"/>
          <w:sz w:val="24"/>
          <w:szCs w:val="24"/>
        </w:rPr>
      </w:pPr>
      <w:r w:rsidRPr="00F444E2">
        <w:rPr>
          <w:rFonts w:ascii="Times New Roman" w:hAnsi="Times New Roman" w:cs="Times New Roman"/>
          <w:color w:val="000000"/>
          <w:sz w:val="24"/>
          <w:szCs w:val="24"/>
        </w:rPr>
        <w:tab/>
      </w:r>
      <w:r w:rsidR="007F597E" w:rsidRPr="00F444E2">
        <w:rPr>
          <w:rFonts w:ascii="Times New Roman" w:hAnsi="Times New Roman" w:cs="Times New Roman"/>
          <w:color w:val="000000"/>
          <w:sz w:val="24"/>
          <w:szCs w:val="24"/>
        </w:rPr>
        <w:t xml:space="preserve">Asociacijos prezidentas                                                                          dr. Valdas Lukoševičius </w:t>
      </w:r>
    </w:p>
    <w:p w14:paraId="106F2175" w14:textId="77777777" w:rsidR="007F597E" w:rsidRPr="00F444E2" w:rsidRDefault="007F597E" w:rsidP="001F3670">
      <w:pPr>
        <w:spacing w:line="240" w:lineRule="auto"/>
        <w:rPr>
          <w:rFonts w:ascii="Times New Roman" w:hAnsi="Times New Roman" w:cs="Times New Roman"/>
          <w:color w:val="000000"/>
          <w:sz w:val="24"/>
          <w:szCs w:val="24"/>
        </w:rPr>
      </w:pPr>
    </w:p>
    <w:p w14:paraId="12632D98" w14:textId="52239680" w:rsidR="007F597E" w:rsidRPr="00F444E2" w:rsidRDefault="007F597E" w:rsidP="001F3670">
      <w:pPr>
        <w:spacing w:line="240" w:lineRule="auto"/>
        <w:rPr>
          <w:rFonts w:ascii="Times New Roman" w:hAnsi="Times New Roman" w:cs="Times New Roman"/>
          <w:color w:val="000000"/>
          <w:sz w:val="24"/>
          <w:szCs w:val="24"/>
        </w:rPr>
      </w:pPr>
    </w:p>
    <w:p w14:paraId="3A518537" w14:textId="77777777" w:rsidR="00BB5516" w:rsidRPr="00F444E2" w:rsidRDefault="00BB5516" w:rsidP="001F3670">
      <w:pPr>
        <w:spacing w:line="240" w:lineRule="auto"/>
        <w:rPr>
          <w:rFonts w:ascii="Times New Roman" w:hAnsi="Times New Roman" w:cs="Times New Roman"/>
          <w:color w:val="000000"/>
          <w:sz w:val="24"/>
          <w:szCs w:val="24"/>
        </w:rPr>
      </w:pPr>
    </w:p>
    <w:p w14:paraId="013E080E" w14:textId="43C7AFEB" w:rsidR="001F3670" w:rsidRPr="00F444E2" w:rsidRDefault="001F3670" w:rsidP="001F3670">
      <w:pPr>
        <w:spacing w:line="240" w:lineRule="auto"/>
        <w:rPr>
          <w:rFonts w:ascii="Times New Roman" w:hAnsi="Times New Roman" w:cs="Times New Roman"/>
          <w:color w:val="000000"/>
          <w:sz w:val="24"/>
          <w:szCs w:val="24"/>
        </w:rPr>
      </w:pPr>
    </w:p>
    <w:p w14:paraId="5EB49201" w14:textId="5052082E" w:rsidR="001F3670" w:rsidRPr="00F444E2" w:rsidRDefault="001F3670" w:rsidP="001F3670">
      <w:pPr>
        <w:spacing w:line="240" w:lineRule="auto"/>
        <w:rPr>
          <w:rFonts w:ascii="Times New Roman" w:hAnsi="Times New Roman" w:cs="Times New Roman"/>
          <w:color w:val="000000"/>
          <w:sz w:val="24"/>
          <w:szCs w:val="24"/>
        </w:rPr>
      </w:pPr>
    </w:p>
    <w:p w14:paraId="7610A20D" w14:textId="77777777" w:rsidR="001F3670" w:rsidRPr="00F444E2" w:rsidRDefault="001F3670" w:rsidP="001F3670">
      <w:pPr>
        <w:spacing w:line="240" w:lineRule="auto"/>
        <w:rPr>
          <w:rFonts w:ascii="Times New Roman" w:hAnsi="Times New Roman" w:cs="Times New Roman"/>
          <w:color w:val="000000"/>
          <w:sz w:val="24"/>
          <w:szCs w:val="24"/>
        </w:rPr>
      </w:pPr>
    </w:p>
    <w:p w14:paraId="0E850799" w14:textId="55A20173" w:rsidR="007349C7" w:rsidRPr="001764C6" w:rsidRDefault="007F597E" w:rsidP="001F3670">
      <w:pPr>
        <w:spacing w:line="240" w:lineRule="auto"/>
        <w:rPr>
          <w:rFonts w:ascii="Times New Roman" w:hAnsi="Times New Roman" w:cs="Times New Roman"/>
          <w:sz w:val="24"/>
          <w:szCs w:val="24"/>
        </w:rPr>
      </w:pPr>
      <w:r w:rsidRPr="00F444E2">
        <w:rPr>
          <w:rFonts w:ascii="Times New Roman" w:hAnsi="Times New Roman" w:cs="Times New Roman"/>
          <w:sz w:val="24"/>
          <w:szCs w:val="24"/>
        </w:rPr>
        <w:t xml:space="preserve">Egidijus </w:t>
      </w:r>
      <w:proofErr w:type="spellStart"/>
      <w:r w:rsidRPr="00F444E2">
        <w:rPr>
          <w:rFonts w:ascii="Times New Roman" w:hAnsi="Times New Roman" w:cs="Times New Roman"/>
          <w:sz w:val="24"/>
          <w:szCs w:val="24"/>
        </w:rPr>
        <w:t>Šimoliūnas</w:t>
      </w:r>
      <w:proofErr w:type="spellEnd"/>
      <w:r w:rsidRPr="00F444E2">
        <w:rPr>
          <w:rFonts w:ascii="Times New Roman" w:hAnsi="Times New Roman" w:cs="Times New Roman"/>
          <w:sz w:val="24"/>
          <w:szCs w:val="24"/>
        </w:rPr>
        <w:t>, tel. 8-689-54153, egidijus@lsta.lt</w:t>
      </w:r>
    </w:p>
    <w:sectPr w:rsidR="007349C7" w:rsidRPr="001764C6" w:rsidSect="007977AD">
      <w:pgSz w:w="12240" w:h="15840"/>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otham Book">
    <w:altName w:val="Calibri"/>
    <w:charset w:val="BA"/>
    <w:family w:val="roman"/>
    <w:pitch w:val="variable"/>
  </w:font>
  <w:font w:name="Gotham Pro Regular">
    <w:altName w:val="Calibri"/>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835"/>
    <w:rsid w:val="001764C6"/>
    <w:rsid w:val="001A1D47"/>
    <w:rsid w:val="001F3670"/>
    <w:rsid w:val="00282D21"/>
    <w:rsid w:val="003914E4"/>
    <w:rsid w:val="00634862"/>
    <w:rsid w:val="007349C7"/>
    <w:rsid w:val="007977AD"/>
    <w:rsid w:val="007B703A"/>
    <w:rsid w:val="007F597E"/>
    <w:rsid w:val="00801835"/>
    <w:rsid w:val="00B64126"/>
    <w:rsid w:val="00BB5516"/>
    <w:rsid w:val="00F444E2"/>
    <w:rsid w:val="00F5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8467"/>
  <w15:chartTrackingRefBased/>
  <w15:docId w15:val="{166E0B23-8ABE-4456-94F3-9ED3A584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97E"/>
    <w:pPr>
      <w:suppressAutoHyphens/>
      <w:spacing w:after="200" w:line="276" w:lineRule="auto"/>
    </w:pPr>
    <w:rPr>
      <w:rFonts w:eastAsia="Calibri"/>
      <w:lang w:val="lt-LT"/>
    </w:rPr>
  </w:style>
  <w:style w:type="paragraph" w:styleId="Heading1">
    <w:name w:val="heading 1"/>
    <w:basedOn w:val="Normal"/>
    <w:next w:val="Normal"/>
    <w:link w:val="Heading1Char"/>
    <w:qFormat/>
    <w:rsid w:val="007B703A"/>
    <w:pPr>
      <w:keepNext/>
      <w:suppressAutoHyphens w:val="0"/>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qFormat/>
    <w:rsid w:val="007F597E"/>
  </w:style>
  <w:style w:type="paragraph" w:styleId="Footer">
    <w:name w:val="footer"/>
    <w:basedOn w:val="Normal"/>
    <w:link w:val="FooterChar"/>
    <w:uiPriority w:val="99"/>
    <w:unhideWhenUsed/>
    <w:rsid w:val="007F597E"/>
    <w:pPr>
      <w:tabs>
        <w:tab w:val="center" w:pos="4819"/>
        <w:tab w:val="right" w:pos="9638"/>
      </w:tabs>
      <w:spacing w:after="0" w:line="240" w:lineRule="auto"/>
    </w:pPr>
    <w:rPr>
      <w:rFonts w:eastAsiaTheme="minorHAnsi"/>
      <w:lang w:val="en-US"/>
    </w:rPr>
  </w:style>
  <w:style w:type="character" w:customStyle="1" w:styleId="FooterChar1">
    <w:name w:val="Footer Char1"/>
    <w:basedOn w:val="DefaultParagraphFont"/>
    <w:uiPriority w:val="99"/>
    <w:semiHidden/>
    <w:rsid w:val="007F597E"/>
    <w:rPr>
      <w:rFonts w:eastAsia="Calibri"/>
      <w:lang w:val="lt-LT"/>
    </w:rPr>
  </w:style>
  <w:style w:type="table" w:styleId="TableGrid">
    <w:name w:val="Table Grid"/>
    <w:basedOn w:val="TableNormal"/>
    <w:uiPriority w:val="59"/>
    <w:rsid w:val="007F597E"/>
    <w:pPr>
      <w:suppressAutoHyphens/>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597E"/>
    <w:rPr>
      <w:sz w:val="16"/>
      <w:szCs w:val="16"/>
    </w:rPr>
  </w:style>
  <w:style w:type="paragraph" w:styleId="CommentText">
    <w:name w:val="annotation text"/>
    <w:basedOn w:val="Normal"/>
    <w:link w:val="CommentTextChar"/>
    <w:uiPriority w:val="99"/>
    <w:unhideWhenUsed/>
    <w:rsid w:val="007F597E"/>
    <w:pPr>
      <w:spacing w:line="240" w:lineRule="auto"/>
    </w:pPr>
    <w:rPr>
      <w:sz w:val="20"/>
      <w:szCs w:val="20"/>
    </w:rPr>
  </w:style>
  <w:style w:type="character" w:customStyle="1" w:styleId="CommentTextChar">
    <w:name w:val="Comment Text Char"/>
    <w:basedOn w:val="DefaultParagraphFont"/>
    <w:link w:val="CommentText"/>
    <w:uiPriority w:val="99"/>
    <w:rsid w:val="007F597E"/>
    <w:rPr>
      <w:rFonts w:eastAsia="Calibri"/>
      <w:sz w:val="20"/>
      <w:szCs w:val="20"/>
      <w:lang w:val="lt-LT"/>
    </w:rPr>
  </w:style>
  <w:style w:type="paragraph" w:styleId="NormalWeb">
    <w:name w:val="Normal (Web)"/>
    <w:basedOn w:val="Normal"/>
    <w:uiPriority w:val="99"/>
    <w:unhideWhenUsed/>
    <w:rsid w:val="007F597E"/>
    <w:pPr>
      <w:suppressAutoHyphens w:val="0"/>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7B703A"/>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C533E-9FC0-4C38-AFA2-094B0D62A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4475</Words>
  <Characters>2552</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Egidijus Šimoliūnas – LŠTA</dc:creator>
  <cp:keywords/>
  <dc:description/>
  <cp:lastModifiedBy>Mantas</cp:lastModifiedBy>
  <cp:revision>5</cp:revision>
  <dcterms:created xsi:type="dcterms:W3CDTF">2022-07-26T07:44:00Z</dcterms:created>
  <dcterms:modified xsi:type="dcterms:W3CDTF">2022-07-26T08:21:00Z</dcterms:modified>
</cp:coreProperties>
</file>