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3840F3" w14:paraId="1D279693" w14:textId="77777777" w:rsidTr="00AF7D96">
        <w:tc>
          <w:tcPr>
            <w:tcW w:w="4395" w:type="dxa"/>
          </w:tcPr>
          <w:p w14:paraId="2CC85455" w14:textId="77777777" w:rsidR="00A5378F" w:rsidRPr="003840F3" w:rsidRDefault="00A5378F" w:rsidP="00AF7D96">
            <w:pPr>
              <w:jc w:val="both"/>
              <w:rPr>
                <w:rFonts w:ascii="Times New Roman" w:hAnsi="Times New Roman" w:cs="Times New Roman"/>
                <w:sz w:val="24"/>
                <w:szCs w:val="24"/>
              </w:rPr>
            </w:pPr>
            <w:r w:rsidRPr="003840F3">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3840F3"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3840F3" w:rsidRDefault="00A5378F" w:rsidP="00AF7D96">
            <w:pPr>
              <w:pStyle w:val="Footer"/>
              <w:spacing w:line="276" w:lineRule="auto"/>
              <w:rPr>
                <w:rFonts w:ascii="Gotham Book" w:hAnsi="Gotham Book" w:cs="Gotham Pro Regular"/>
                <w:color w:val="585858"/>
                <w:sz w:val="16"/>
                <w:szCs w:val="16"/>
              </w:rPr>
            </w:pPr>
            <w:r w:rsidRPr="003840F3">
              <w:rPr>
                <w:rFonts w:ascii="Gotham Book" w:hAnsi="Gotham Book" w:cs="Gotham Pro Regular"/>
                <w:color w:val="585858"/>
                <w:sz w:val="16"/>
                <w:szCs w:val="16"/>
              </w:rPr>
              <w:t>V. Gerulai</w:t>
            </w:r>
            <w:r w:rsidRPr="003840F3">
              <w:rPr>
                <w:rFonts w:ascii="Gotham Book" w:eastAsia="Calibri" w:hAnsi="Gotham Book" w:cs="Calibri"/>
                <w:color w:val="585858"/>
                <w:sz w:val="16"/>
                <w:szCs w:val="16"/>
              </w:rPr>
              <w:t>č</w:t>
            </w:r>
            <w:r w:rsidRPr="003840F3">
              <w:rPr>
                <w:rFonts w:ascii="Gotham Book" w:hAnsi="Gotham Book" w:cs="Gotham Pro Regular"/>
                <w:color w:val="585858"/>
                <w:sz w:val="16"/>
                <w:szCs w:val="16"/>
              </w:rPr>
              <w:t>io g. 1</w:t>
            </w:r>
            <w:r w:rsidR="00DF79F0" w:rsidRPr="003840F3">
              <w:rPr>
                <w:rFonts w:ascii="Gotham Book" w:hAnsi="Gotham Book" w:cs="Gotham Pro Regular"/>
                <w:color w:val="585858"/>
                <w:sz w:val="16"/>
                <w:szCs w:val="16"/>
              </w:rPr>
              <w:t>0</w:t>
            </w:r>
          </w:p>
          <w:p w14:paraId="7AAA664F" w14:textId="77777777" w:rsidR="00A5378F" w:rsidRPr="003840F3" w:rsidRDefault="00A5378F" w:rsidP="00AF7D96">
            <w:pPr>
              <w:pStyle w:val="Footer"/>
              <w:spacing w:line="276" w:lineRule="auto"/>
              <w:rPr>
                <w:rFonts w:ascii="Gotham Book" w:hAnsi="Gotham Book" w:cs="Gotham Pro Regular"/>
                <w:color w:val="585858"/>
                <w:sz w:val="16"/>
                <w:szCs w:val="16"/>
              </w:rPr>
            </w:pPr>
            <w:r w:rsidRPr="003840F3">
              <w:rPr>
                <w:rFonts w:ascii="Gotham Book" w:hAnsi="Gotham Book" w:cs="Gotham Pro Regular"/>
                <w:color w:val="585858"/>
                <w:sz w:val="16"/>
                <w:szCs w:val="16"/>
              </w:rPr>
              <w:t>LT-08200 Vilnius</w:t>
            </w:r>
          </w:p>
          <w:p w14:paraId="5AEBB9D6" w14:textId="1E430723" w:rsidR="00A5378F" w:rsidRPr="003840F3" w:rsidRDefault="00A5378F" w:rsidP="00AF7D96">
            <w:pPr>
              <w:pStyle w:val="Footer"/>
              <w:spacing w:line="276" w:lineRule="auto"/>
              <w:rPr>
                <w:rFonts w:ascii="Gotham Book" w:hAnsi="Gotham Book" w:cs="Gotham Pro Regular"/>
                <w:color w:val="585858"/>
                <w:sz w:val="16"/>
                <w:szCs w:val="16"/>
              </w:rPr>
            </w:pPr>
            <w:r w:rsidRPr="003840F3">
              <w:rPr>
                <w:rFonts w:ascii="Gotham Book" w:hAnsi="Gotham Book" w:cs="Gotham Pro Regular"/>
                <w:color w:val="585858"/>
                <w:sz w:val="16"/>
                <w:szCs w:val="16"/>
              </w:rPr>
              <w:t>Tel. (8-5) 2667025</w:t>
            </w:r>
          </w:p>
          <w:p w14:paraId="204520E2" w14:textId="77777777" w:rsidR="00A5378F" w:rsidRPr="003840F3" w:rsidRDefault="00A5378F" w:rsidP="00AF7D96">
            <w:pPr>
              <w:pStyle w:val="Footer"/>
              <w:spacing w:line="276" w:lineRule="auto"/>
              <w:rPr>
                <w:rFonts w:ascii="Gotham Book" w:hAnsi="Gotham Book" w:cs="Arial"/>
                <w:color w:val="404040" w:themeColor="text1" w:themeTint="BF"/>
                <w:sz w:val="13"/>
                <w:szCs w:val="13"/>
              </w:rPr>
            </w:pPr>
            <w:proofErr w:type="spellStart"/>
            <w:r w:rsidRPr="003840F3">
              <w:rPr>
                <w:rFonts w:ascii="Gotham Book" w:hAnsi="Gotham Book" w:cs="Gotham Pro Regular"/>
                <w:color w:val="585858"/>
                <w:sz w:val="16"/>
                <w:szCs w:val="16"/>
              </w:rPr>
              <w:t>info@lsta.lt</w:t>
            </w:r>
            <w:proofErr w:type="spellEnd"/>
            <w:r w:rsidRPr="003840F3">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3840F3" w:rsidRDefault="00A5378F" w:rsidP="00AF7D96">
            <w:pPr>
              <w:pStyle w:val="Footer"/>
              <w:rPr>
                <w:rFonts w:ascii="Gotham Book" w:hAnsi="Gotham Book" w:cs="Gotham Pro Regular"/>
                <w:color w:val="585858"/>
                <w:sz w:val="16"/>
                <w:szCs w:val="16"/>
              </w:rPr>
            </w:pPr>
            <w:r w:rsidRPr="003840F3">
              <w:rPr>
                <w:rFonts w:ascii="Gotham Book" w:hAnsi="Gotham Book" w:cs="Gotham Pro Regular"/>
                <w:color w:val="585858"/>
                <w:sz w:val="16"/>
                <w:szCs w:val="16"/>
              </w:rPr>
              <w:t>Juridini</w:t>
            </w:r>
            <w:r w:rsidRPr="003840F3">
              <w:rPr>
                <w:rFonts w:ascii="Gotham Book" w:eastAsia="Calibri" w:hAnsi="Gotham Book" w:cs="Calibri"/>
                <w:color w:val="585858"/>
                <w:sz w:val="16"/>
                <w:szCs w:val="16"/>
              </w:rPr>
              <w:t>ų</w:t>
            </w:r>
            <w:r w:rsidRPr="003840F3">
              <w:rPr>
                <w:rFonts w:ascii="Gotham Book" w:hAnsi="Gotham Book" w:cs="Gotham Pro Regular"/>
                <w:color w:val="585858"/>
                <w:sz w:val="16"/>
                <w:szCs w:val="16"/>
              </w:rPr>
              <w:t xml:space="preserve"> asmen</w:t>
            </w:r>
            <w:r w:rsidRPr="003840F3">
              <w:rPr>
                <w:rFonts w:ascii="Gotham Book" w:eastAsia="Calibri" w:hAnsi="Gotham Book" w:cs="Calibri"/>
                <w:color w:val="585858"/>
                <w:sz w:val="16"/>
                <w:szCs w:val="16"/>
              </w:rPr>
              <w:t>ų</w:t>
            </w:r>
            <w:r w:rsidRPr="003840F3">
              <w:rPr>
                <w:rFonts w:ascii="Gotham Book" w:hAnsi="Gotham Book" w:cs="Gotham Pro Regular"/>
                <w:color w:val="585858"/>
                <w:sz w:val="16"/>
                <w:szCs w:val="16"/>
              </w:rPr>
              <w:t xml:space="preserve"> registras</w:t>
            </w:r>
          </w:p>
          <w:p w14:paraId="266DCA6D" w14:textId="77777777" w:rsidR="00A5378F" w:rsidRPr="003840F3" w:rsidRDefault="00A5378F" w:rsidP="00AF7D96">
            <w:pPr>
              <w:pStyle w:val="Footer"/>
              <w:rPr>
                <w:rFonts w:ascii="Gotham Book" w:hAnsi="Gotham Book" w:cs="Gotham Pro Regular"/>
                <w:color w:val="585858"/>
                <w:sz w:val="16"/>
                <w:szCs w:val="16"/>
              </w:rPr>
            </w:pPr>
            <w:r w:rsidRPr="003840F3">
              <w:rPr>
                <w:rFonts w:ascii="Gotham Book" w:hAnsi="Gotham Book" w:cs="Gotham Pro Regular"/>
                <w:color w:val="585858"/>
                <w:sz w:val="16"/>
                <w:szCs w:val="16"/>
              </w:rPr>
              <w:t>V</w:t>
            </w:r>
            <w:r w:rsidRPr="003840F3">
              <w:rPr>
                <w:rFonts w:ascii="Gotham Book" w:eastAsia="Calibri" w:hAnsi="Gotham Book" w:cs="Calibri"/>
                <w:color w:val="585858"/>
                <w:sz w:val="16"/>
                <w:szCs w:val="16"/>
              </w:rPr>
              <w:t>Į</w:t>
            </w:r>
            <w:r w:rsidRPr="003840F3">
              <w:rPr>
                <w:rFonts w:ascii="Gotham Book" w:hAnsi="Gotham Book" w:cs="Gotham Pro Regular"/>
                <w:color w:val="585858"/>
                <w:sz w:val="16"/>
                <w:szCs w:val="16"/>
              </w:rPr>
              <w:t xml:space="preserve"> „Registr</w:t>
            </w:r>
            <w:r w:rsidRPr="003840F3">
              <w:rPr>
                <w:rFonts w:ascii="Gotham Book" w:eastAsia="Calibri" w:hAnsi="Gotham Book" w:cs="Calibri"/>
                <w:color w:val="585858"/>
                <w:sz w:val="16"/>
                <w:szCs w:val="16"/>
              </w:rPr>
              <w:t>ų</w:t>
            </w:r>
            <w:r w:rsidRPr="003840F3">
              <w:rPr>
                <w:rFonts w:ascii="Gotham Book" w:hAnsi="Gotham Book" w:cs="Gotham Pro Regular"/>
                <w:color w:val="585858"/>
                <w:sz w:val="16"/>
                <w:szCs w:val="16"/>
              </w:rPr>
              <w:t xml:space="preserve"> centras“ Vilniaus filialas</w:t>
            </w:r>
          </w:p>
          <w:p w14:paraId="5CFB8752" w14:textId="77777777" w:rsidR="00A5378F" w:rsidRPr="003840F3" w:rsidRDefault="00A5378F" w:rsidP="00AF7D96">
            <w:pPr>
              <w:pStyle w:val="Footer"/>
              <w:spacing w:line="276" w:lineRule="auto"/>
              <w:rPr>
                <w:rFonts w:ascii="Gotham Book" w:hAnsi="Gotham Book" w:cs="Gotham Pro Regular"/>
                <w:color w:val="585858"/>
                <w:sz w:val="16"/>
                <w:szCs w:val="16"/>
              </w:rPr>
            </w:pPr>
            <w:r w:rsidRPr="003840F3">
              <w:rPr>
                <w:rFonts w:ascii="Gotham Book" w:eastAsia="Calibri" w:hAnsi="Gotham Book" w:cs="Calibri"/>
                <w:color w:val="585858"/>
                <w:sz w:val="16"/>
                <w:szCs w:val="16"/>
              </w:rPr>
              <w:t>Į</w:t>
            </w:r>
            <w:r w:rsidRPr="003840F3">
              <w:rPr>
                <w:rFonts w:ascii="Gotham Book" w:hAnsi="Gotham Book" w:cs="Gotham Pro Regular"/>
                <w:color w:val="585858"/>
                <w:sz w:val="16"/>
                <w:szCs w:val="16"/>
              </w:rPr>
              <w:t>mon</w:t>
            </w:r>
            <w:r w:rsidRPr="003840F3">
              <w:rPr>
                <w:rFonts w:ascii="Gotham Book" w:eastAsia="Calibri" w:hAnsi="Gotham Book" w:cs="Calibri"/>
                <w:color w:val="585858"/>
                <w:sz w:val="16"/>
                <w:szCs w:val="16"/>
              </w:rPr>
              <w:t>ė</w:t>
            </w:r>
            <w:r w:rsidRPr="003840F3">
              <w:rPr>
                <w:rFonts w:ascii="Gotham Book" w:hAnsi="Gotham Book" w:cs="Gotham Pro Regular"/>
                <w:color w:val="585858"/>
                <w:sz w:val="16"/>
                <w:szCs w:val="16"/>
              </w:rPr>
              <w:t xml:space="preserve">s kodas 124361985 </w:t>
            </w:r>
            <w:r w:rsidRPr="003840F3">
              <w:rPr>
                <w:rFonts w:ascii="Gotham Book" w:hAnsi="Gotham Book" w:cs="Gotham Pro Regular"/>
                <w:color w:val="585858"/>
                <w:sz w:val="16"/>
                <w:szCs w:val="16"/>
              </w:rPr>
              <w:br/>
              <w:t>Atsiskaitomoji s</w:t>
            </w:r>
            <w:r w:rsidRPr="003840F3">
              <w:rPr>
                <w:rFonts w:ascii="Gotham Book" w:eastAsia="Calibri" w:hAnsi="Gotham Book" w:cs="Calibri"/>
                <w:color w:val="585858"/>
                <w:sz w:val="16"/>
                <w:szCs w:val="16"/>
              </w:rPr>
              <w:t>ą</w:t>
            </w:r>
            <w:r w:rsidRPr="003840F3">
              <w:rPr>
                <w:rFonts w:ascii="Gotham Book" w:hAnsi="Gotham Book" w:cs="Gotham Pro Regular"/>
                <w:color w:val="585858"/>
                <w:sz w:val="16"/>
                <w:szCs w:val="16"/>
              </w:rPr>
              <w:t xml:space="preserve">skaita </w:t>
            </w:r>
          </w:p>
          <w:p w14:paraId="388338D2" w14:textId="77777777" w:rsidR="00A5378F" w:rsidRPr="003840F3" w:rsidRDefault="00A5378F" w:rsidP="00AF7D96">
            <w:pPr>
              <w:pStyle w:val="Footer"/>
              <w:spacing w:line="276" w:lineRule="auto"/>
              <w:rPr>
                <w:rFonts w:ascii="Gotham Book" w:hAnsi="Gotham Book" w:cs="Gotham Pro Regular"/>
                <w:color w:val="585858"/>
                <w:sz w:val="16"/>
                <w:szCs w:val="16"/>
              </w:rPr>
            </w:pPr>
            <w:r w:rsidRPr="003840F3">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3840F3" w14:paraId="2F307AFA" w14:textId="77777777" w:rsidTr="00AF7D96">
        <w:trPr>
          <w:cantSplit/>
        </w:trPr>
        <w:tc>
          <w:tcPr>
            <w:tcW w:w="5537" w:type="dxa"/>
            <w:vMerge w:val="restart"/>
          </w:tcPr>
          <w:p w14:paraId="7EC87974" w14:textId="18D1192E" w:rsidR="003400B5" w:rsidRDefault="003400B5"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Seimo Energetikos ir darnios plėtros komisijai,</w:t>
            </w:r>
          </w:p>
          <w:p w14:paraId="3E0DFB60" w14:textId="45FD2E9B" w:rsidR="00A5378F" w:rsidRPr="003840F3" w:rsidRDefault="0094033D" w:rsidP="00CD4C2E">
            <w:pPr>
              <w:spacing w:after="0" w:line="240" w:lineRule="auto"/>
              <w:jc w:val="both"/>
              <w:rPr>
                <w:rFonts w:ascii="Times New Roman" w:hAnsi="Times New Roman" w:cs="Times New Roman"/>
                <w:b/>
                <w:sz w:val="24"/>
                <w:szCs w:val="24"/>
              </w:rPr>
            </w:pPr>
            <w:r w:rsidRPr="003840F3">
              <w:rPr>
                <w:rFonts w:ascii="Times New Roman" w:hAnsi="Times New Roman" w:cs="Times New Roman"/>
                <w:b/>
                <w:sz w:val="24"/>
                <w:szCs w:val="24"/>
              </w:rPr>
              <w:t xml:space="preserve">Lietuvos </w:t>
            </w:r>
            <w:r w:rsidR="00332FBE">
              <w:rPr>
                <w:rFonts w:ascii="Times New Roman" w:hAnsi="Times New Roman" w:cs="Times New Roman"/>
                <w:b/>
                <w:sz w:val="24"/>
                <w:szCs w:val="24"/>
              </w:rPr>
              <w:t>R</w:t>
            </w:r>
            <w:r w:rsidRPr="003840F3">
              <w:rPr>
                <w:rFonts w:ascii="Times New Roman" w:hAnsi="Times New Roman" w:cs="Times New Roman"/>
                <w:b/>
                <w:sz w:val="24"/>
                <w:szCs w:val="24"/>
              </w:rPr>
              <w:t>espublikos energetikos ministerijai,</w:t>
            </w:r>
          </w:p>
          <w:p w14:paraId="4CC7E51A" w14:textId="77777777" w:rsidR="0094033D" w:rsidRPr="003840F3" w:rsidRDefault="0094033D" w:rsidP="00CD4C2E">
            <w:pPr>
              <w:spacing w:after="0" w:line="240" w:lineRule="auto"/>
              <w:jc w:val="both"/>
              <w:rPr>
                <w:rFonts w:ascii="Times New Roman" w:hAnsi="Times New Roman" w:cs="Times New Roman"/>
                <w:b/>
                <w:sz w:val="24"/>
                <w:szCs w:val="24"/>
              </w:rPr>
            </w:pPr>
            <w:r w:rsidRPr="003840F3">
              <w:rPr>
                <w:rFonts w:ascii="Times New Roman" w:hAnsi="Times New Roman" w:cs="Times New Roman"/>
                <w:b/>
                <w:sz w:val="24"/>
                <w:szCs w:val="24"/>
              </w:rPr>
              <w:t>Valstybinei energetikos reguliavimo tarybai,</w:t>
            </w:r>
          </w:p>
          <w:p w14:paraId="12C8476B" w14:textId="1F85BC74" w:rsidR="0094033D" w:rsidRPr="003840F3" w:rsidRDefault="0094033D" w:rsidP="00CD4C2E">
            <w:pPr>
              <w:spacing w:after="0" w:line="240" w:lineRule="auto"/>
              <w:jc w:val="both"/>
              <w:rPr>
                <w:rFonts w:ascii="Times New Roman" w:hAnsi="Times New Roman" w:cs="Times New Roman"/>
                <w:b/>
                <w:sz w:val="24"/>
                <w:szCs w:val="24"/>
              </w:rPr>
            </w:pPr>
            <w:r w:rsidRPr="003840F3">
              <w:rPr>
                <w:rFonts w:ascii="Times New Roman" w:hAnsi="Times New Roman" w:cs="Times New Roman"/>
                <w:b/>
                <w:sz w:val="24"/>
                <w:szCs w:val="24"/>
              </w:rPr>
              <w:t>BALTPOOL UAB</w:t>
            </w:r>
          </w:p>
        </w:tc>
        <w:tc>
          <w:tcPr>
            <w:tcW w:w="283" w:type="dxa"/>
          </w:tcPr>
          <w:p w14:paraId="28688853" w14:textId="77777777" w:rsidR="00A5378F" w:rsidRPr="003840F3" w:rsidRDefault="00A5378F" w:rsidP="00CD4C2E">
            <w:pPr>
              <w:spacing w:after="0" w:line="240" w:lineRule="auto"/>
              <w:rPr>
                <w:rFonts w:ascii="Times New Roman" w:hAnsi="Times New Roman" w:cs="Times New Roman"/>
                <w:bCs/>
                <w:sz w:val="24"/>
                <w:szCs w:val="24"/>
              </w:rPr>
            </w:pPr>
          </w:p>
        </w:tc>
        <w:tc>
          <w:tcPr>
            <w:tcW w:w="1418" w:type="dxa"/>
          </w:tcPr>
          <w:p w14:paraId="4D429152" w14:textId="756056A0" w:rsidR="00A5378F" w:rsidRPr="003840F3" w:rsidRDefault="00A5378F" w:rsidP="00CD4C2E">
            <w:pPr>
              <w:spacing w:after="0" w:line="240" w:lineRule="auto"/>
              <w:rPr>
                <w:rFonts w:ascii="Times New Roman" w:hAnsi="Times New Roman" w:cs="Times New Roman"/>
                <w:bCs/>
                <w:sz w:val="24"/>
                <w:szCs w:val="24"/>
              </w:rPr>
            </w:pPr>
            <w:r w:rsidRPr="003840F3">
              <w:rPr>
                <w:rFonts w:ascii="Times New Roman" w:hAnsi="Times New Roman" w:cs="Times New Roman"/>
                <w:bCs/>
                <w:sz w:val="24"/>
                <w:szCs w:val="24"/>
              </w:rPr>
              <w:t>20</w:t>
            </w:r>
            <w:r w:rsidR="005A234D" w:rsidRPr="003840F3">
              <w:rPr>
                <w:rFonts w:ascii="Times New Roman" w:hAnsi="Times New Roman" w:cs="Times New Roman"/>
                <w:bCs/>
                <w:sz w:val="24"/>
                <w:szCs w:val="24"/>
              </w:rPr>
              <w:t>2</w:t>
            </w:r>
            <w:r w:rsidR="00CC2FB5" w:rsidRPr="003840F3">
              <w:rPr>
                <w:rFonts w:ascii="Times New Roman" w:hAnsi="Times New Roman" w:cs="Times New Roman"/>
                <w:bCs/>
                <w:sz w:val="24"/>
                <w:szCs w:val="24"/>
              </w:rPr>
              <w:t>2</w:t>
            </w:r>
            <w:r w:rsidRPr="003840F3">
              <w:rPr>
                <w:rFonts w:ascii="Times New Roman" w:hAnsi="Times New Roman" w:cs="Times New Roman"/>
                <w:bCs/>
                <w:sz w:val="24"/>
                <w:szCs w:val="24"/>
              </w:rPr>
              <w:t>-</w:t>
            </w:r>
            <w:r w:rsidR="00CC2FB5" w:rsidRPr="003840F3">
              <w:rPr>
                <w:rFonts w:ascii="Times New Roman" w:hAnsi="Times New Roman" w:cs="Times New Roman"/>
                <w:bCs/>
                <w:sz w:val="24"/>
                <w:szCs w:val="24"/>
              </w:rPr>
              <w:t>0</w:t>
            </w:r>
            <w:r w:rsidR="0094033D" w:rsidRPr="003840F3">
              <w:rPr>
                <w:rFonts w:ascii="Times New Roman" w:hAnsi="Times New Roman" w:cs="Times New Roman"/>
                <w:bCs/>
                <w:sz w:val="24"/>
                <w:szCs w:val="24"/>
              </w:rPr>
              <w:t>7</w:t>
            </w:r>
            <w:r w:rsidRPr="003840F3">
              <w:rPr>
                <w:rFonts w:ascii="Times New Roman" w:hAnsi="Times New Roman" w:cs="Times New Roman"/>
                <w:bCs/>
                <w:sz w:val="24"/>
                <w:szCs w:val="24"/>
              </w:rPr>
              <w:t>-</w:t>
            </w:r>
            <w:r w:rsidR="00332FBE">
              <w:rPr>
                <w:rFonts w:ascii="Times New Roman" w:hAnsi="Times New Roman" w:cs="Times New Roman"/>
                <w:bCs/>
                <w:sz w:val="24"/>
                <w:szCs w:val="24"/>
              </w:rPr>
              <w:t>19</w:t>
            </w:r>
          </w:p>
        </w:tc>
        <w:tc>
          <w:tcPr>
            <w:tcW w:w="2401" w:type="dxa"/>
          </w:tcPr>
          <w:p w14:paraId="0DCDE756" w14:textId="65AEECE1" w:rsidR="00A5378F" w:rsidRPr="003840F3" w:rsidRDefault="00A5378F" w:rsidP="00CD4C2E">
            <w:pPr>
              <w:spacing w:after="0" w:line="240" w:lineRule="auto"/>
              <w:rPr>
                <w:rFonts w:ascii="Times New Roman" w:hAnsi="Times New Roman" w:cs="Times New Roman"/>
                <w:bCs/>
                <w:sz w:val="24"/>
                <w:szCs w:val="24"/>
              </w:rPr>
            </w:pPr>
            <w:r w:rsidRPr="003840F3">
              <w:rPr>
                <w:rFonts w:ascii="Times New Roman" w:hAnsi="Times New Roman" w:cs="Times New Roman"/>
                <w:bCs/>
                <w:sz w:val="24"/>
                <w:szCs w:val="24"/>
              </w:rPr>
              <w:t>Nr.</w:t>
            </w:r>
            <w:r w:rsidR="00CD4C2E" w:rsidRPr="003840F3">
              <w:rPr>
                <w:rFonts w:ascii="Times New Roman" w:hAnsi="Times New Roman" w:cs="Times New Roman"/>
                <w:bCs/>
                <w:sz w:val="24"/>
                <w:szCs w:val="24"/>
              </w:rPr>
              <w:t xml:space="preserve"> </w:t>
            </w:r>
            <w:r w:rsidR="00332FBE">
              <w:rPr>
                <w:rFonts w:ascii="Times New Roman" w:hAnsi="Times New Roman" w:cs="Times New Roman"/>
                <w:bCs/>
                <w:sz w:val="24"/>
                <w:szCs w:val="24"/>
              </w:rPr>
              <w:t>74</w:t>
            </w:r>
          </w:p>
        </w:tc>
      </w:tr>
      <w:tr w:rsidR="00A5378F" w:rsidRPr="003840F3" w14:paraId="09EA10AA" w14:textId="77777777" w:rsidTr="00AF7D96">
        <w:trPr>
          <w:cantSplit/>
        </w:trPr>
        <w:tc>
          <w:tcPr>
            <w:tcW w:w="5537" w:type="dxa"/>
            <w:vMerge/>
          </w:tcPr>
          <w:p w14:paraId="71EA8D27" w14:textId="77777777" w:rsidR="00A5378F" w:rsidRPr="003840F3"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3840F3" w:rsidRDefault="00A5378F" w:rsidP="00CD4C2E">
            <w:pPr>
              <w:pStyle w:val="Heading1"/>
              <w:rPr>
                <w:szCs w:val="24"/>
              </w:rPr>
            </w:pPr>
            <w:r w:rsidRPr="003840F3">
              <w:rPr>
                <w:szCs w:val="24"/>
              </w:rPr>
              <w:t>Į</w:t>
            </w:r>
          </w:p>
        </w:tc>
        <w:tc>
          <w:tcPr>
            <w:tcW w:w="1418" w:type="dxa"/>
          </w:tcPr>
          <w:p w14:paraId="094B5206" w14:textId="16CE2F23" w:rsidR="00A5378F" w:rsidRPr="003840F3"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3840F3" w:rsidRDefault="00A5378F" w:rsidP="00CD4C2E">
            <w:pPr>
              <w:pStyle w:val="Heading1"/>
              <w:rPr>
                <w:szCs w:val="24"/>
              </w:rPr>
            </w:pPr>
            <w:r w:rsidRPr="003840F3">
              <w:rPr>
                <w:szCs w:val="24"/>
              </w:rPr>
              <w:t xml:space="preserve">Nr. </w:t>
            </w:r>
          </w:p>
        </w:tc>
      </w:tr>
      <w:tr w:rsidR="00A5378F" w:rsidRPr="003840F3" w14:paraId="4132F391" w14:textId="77777777" w:rsidTr="00AF7D96">
        <w:trPr>
          <w:cantSplit/>
          <w:trHeight w:val="302"/>
        </w:trPr>
        <w:tc>
          <w:tcPr>
            <w:tcW w:w="5537" w:type="dxa"/>
          </w:tcPr>
          <w:p w14:paraId="738DF583" w14:textId="77777777" w:rsidR="00A5378F" w:rsidRPr="003840F3"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3840F3"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3840F3"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3840F3" w:rsidRDefault="00A5378F" w:rsidP="00CD4C2E">
            <w:pPr>
              <w:spacing w:after="0" w:line="240" w:lineRule="auto"/>
              <w:rPr>
                <w:rFonts w:ascii="Times New Roman" w:hAnsi="Times New Roman" w:cs="Times New Roman"/>
                <w:sz w:val="24"/>
                <w:szCs w:val="24"/>
              </w:rPr>
            </w:pPr>
          </w:p>
        </w:tc>
      </w:tr>
      <w:tr w:rsidR="00A5378F" w:rsidRPr="003840F3" w14:paraId="33E50A91" w14:textId="77777777" w:rsidTr="00AF7D96">
        <w:trPr>
          <w:cantSplit/>
        </w:trPr>
        <w:tc>
          <w:tcPr>
            <w:tcW w:w="9639" w:type="dxa"/>
            <w:gridSpan w:val="4"/>
          </w:tcPr>
          <w:p w14:paraId="5AB6DA64" w14:textId="65E0BE1F" w:rsidR="00A5378F" w:rsidRPr="003840F3" w:rsidRDefault="00CC2FB5" w:rsidP="00332FBE">
            <w:pPr>
              <w:spacing w:after="0" w:line="240" w:lineRule="auto"/>
              <w:jc w:val="both"/>
              <w:rPr>
                <w:rFonts w:ascii="Times New Roman" w:hAnsi="Times New Roman" w:cs="Times New Roman"/>
                <w:b/>
                <w:bCs/>
                <w:caps/>
                <w:sz w:val="24"/>
                <w:szCs w:val="24"/>
              </w:rPr>
            </w:pPr>
            <w:r w:rsidRPr="003840F3">
              <w:rPr>
                <w:rFonts w:ascii="Times New Roman" w:hAnsi="Times New Roman" w:cs="Times New Roman"/>
                <w:b/>
                <w:bCs/>
                <w:caps/>
                <w:sz w:val="24"/>
                <w:szCs w:val="24"/>
              </w:rPr>
              <w:t xml:space="preserve">DĖL </w:t>
            </w:r>
            <w:r w:rsidR="0094033D" w:rsidRPr="003840F3">
              <w:rPr>
                <w:rFonts w:ascii="Times New Roman" w:hAnsi="Times New Roman" w:cs="Times New Roman"/>
                <w:b/>
                <w:bCs/>
                <w:caps/>
                <w:sz w:val="24"/>
                <w:szCs w:val="24"/>
              </w:rPr>
              <w:t xml:space="preserve">šilumos gamybos aukciono dalyvių </w:t>
            </w:r>
            <w:r w:rsidR="00747188" w:rsidRPr="003840F3">
              <w:rPr>
                <w:rFonts w:ascii="Times New Roman" w:hAnsi="Times New Roman" w:cs="Times New Roman"/>
                <w:b/>
                <w:bCs/>
                <w:caps/>
                <w:sz w:val="24"/>
                <w:szCs w:val="24"/>
              </w:rPr>
              <w:t xml:space="preserve">privalomo </w:t>
            </w:r>
            <w:r w:rsidR="0094033D" w:rsidRPr="003840F3">
              <w:rPr>
                <w:rFonts w:ascii="Times New Roman" w:hAnsi="Times New Roman" w:cs="Times New Roman"/>
                <w:b/>
                <w:bCs/>
                <w:caps/>
                <w:sz w:val="24"/>
                <w:szCs w:val="24"/>
              </w:rPr>
              <w:t xml:space="preserve">dalyvavimo </w:t>
            </w:r>
            <w:r w:rsidR="00747188" w:rsidRPr="003840F3">
              <w:rPr>
                <w:rFonts w:ascii="Times New Roman" w:hAnsi="Times New Roman" w:cs="Times New Roman"/>
                <w:b/>
                <w:bCs/>
                <w:caps/>
                <w:sz w:val="24"/>
                <w:szCs w:val="24"/>
              </w:rPr>
              <w:t xml:space="preserve">šilumos gamybos </w:t>
            </w:r>
            <w:r w:rsidR="0094033D" w:rsidRPr="003840F3">
              <w:rPr>
                <w:rFonts w:ascii="Times New Roman" w:hAnsi="Times New Roman" w:cs="Times New Roman"/>
                <w:b/>
                <w:bCs/>
                <w:caps/>
                <w:sz w:val="24"/>
                <w:szCs w:val="24"/>
              </w:rPr>
              <w:t>aukcione</w:t>
            </w:r>
          </w:p>
        </w:tc>
      </w:tr>
    </w:tbl>
    <w:p w14:paraId="2894F4DF" w14:textId="0A04E232" w:rsidR="00F5210B" w:rsidRPr="003840F3" w:rsidRDefault="00F5210B" w:rsidP="00332FBE">
      <w:pPr>
        <w:spacing w:after="0" w:line="240" w:lineRule="auto"/>
        <w:jc w:val="both"/>
        <w:rPr>
          <w:rFonts w:ascii="Times New Roman" w:hAnsi="Times New Roman" w:cs="Times New Roman"/>
          <w:sz w:val="24"/>
          <w:szCs w:val="24"/>
        </w:rPr>
      </w:pPr>
    </w:p>
    <w:p w14:paraId="0941268B" w14:textId="307D0657" w:rsidR="00F5210B" w:rsidRPr="003840F3" w:rsidRDefault="00F5210B" w:rsidP="00332FBE">
      <w:pPr>
        <w:spacing w:before="120" w:after="0" w:line="240" w:lineRule="auto"/>
        <w:ind w:firstLine="851"/>
        <w:jc w:val="both"/>
        <w:rPr>
          <w:rFonts w:ascii="Times New Roman" w:hAnsi="Times New Roman"/>
          <w:sz w:val="24"/>
        </w:rPr>
      </w:pPr>
      <w:r w:rsidRPr="003840F3">
        <w:rPr>
          <w:rFonts w:ascii="Times New Roman" w:hAnsi="Times New Roman"/>
          <w:sz w:val="24"/>
        </w:rPr>
        <w:t xml:space="preserve">Lietuvos šilumos ūkyje susiklostė </w:t>
      </w:r>
      <w:r w:rsidR="00B50825" w:rsidRPr="003840F3">
        <w:rPr>
          <w:rFonts w:ascii="Times New Roman" w:hAnsi="Times New Roman"/>
          <w:sz w:val="24"/>
        </w:rPr>
        <w:t xml:space="preserve">skirtingas teisinis </w:t>
      </w:r>
      <w:r w:rsidRPr="003840F3">
        <w:rPr>
          <w:rFonts w:ascii="Times New Roman" w:hAnsi="Times New Roman"/>
          <w:sz w:val="24"/>
        </w:rPr>
        <w:t>šilumos gamintojų</w:t>
      </w:r>
      <w:r w:rsidR="00B50825" w:rsidRPr="003840F3">
        <w:rPr>
          <w:rFonts w:ascii="Times New Roman" w:hAnsi="Times New Roman"/>
          <w:sz w:val="24"/>
        </w:rPr>
        <w:t xml:space="preserve"> reglamentavimas</w:t>
      </w:r>
      <w:r w:rsidRPr="003840F3">
        <w:rPr>
          <w:rFonts w:ascii="Times New Roman" w:hAnsi="Times New Roman"/>
          <w:sz w:val="24"/>
        </w:rPr>
        <w:t xml:space="preserve"> </w:t>
      </w:r>
      <w:r w:rsidR="003400B5">
        <w:rPr>
          <w:rFonts w:ascii="Times New Roman" w:hAnsi="Times New Roman"/>
          <w:sz w:val="24"/>
        </w:rPr>
        <w:t>c</w:t>
      </w:r>
      <w:r w:rsidRPr="003840F3">
        <w:rPr>
          <w:rFonts w:ascii="Times New Roman" w:hAnsi="Times New Roman"/>
          <w:sz w:val="24"/>
        </w:rPr>
        <w:t>entralizuoto šilumos tiekimo (</w:t>
      </w:r>
      <w:r w:rsidR="00B50825" w:rsidRPr="003840F3">
        <w:rPr>
          <w:rFonts w:ascii="Times New Roman" w:hAnsi="Times New Roman"/>
          <w:sz w:val="24"/>
        </w:rPr>
        <w:t xml:space="preserve">toliau – </w:t>
      </w:r>
      <w:r w:rsidRPr="003840F3">
        <w:rPr>
          <w:rFonts w:ascii="Times New Roman" w:hAnsi="Times New Roman"/>
          <w:sz w:val="24"/>
        </w:rPr>
        <w:t>CŠT) įmonė</w:t>
      </w:r>
      <w:r w:rsidR="003400B5">
        <w:rPr>
          <w:rFonts w:ascii="Times New Roman" w:hAnsi="Times New Roman"/>
          <w:sz w:val="24"/>
        </w:rPr>
        <w:t>m</w:t>
      </w:r>
      <w:r w:rsidRPr="003840F3">
        <w:rPr>
          <w:rFonts w:ascii="Times New Roman" w:hAnsi="Times New Roman"/>
          <w:sz w:val="24"/>
        </w:rPr>
        <w:t>s, kurios gamina, perduoda ir parduoda šiluminę energiją galutiniams vartotojams</w:t>
      </w:r>
      <w:r w:rsidR="00B50825" w:rsidRPr="003840F3">
        <w:rPr>
          <w:rFonts w:ascii="Times New Roman" w:hAnsi="Times New Roman"/>
          <w:sz w:val="24"/>
        </w:rPr>
        <w:t>,</w:t>
      </w:r>
      <w:r w:rsidRPr="003840F3">
        <w:rPr>
          <w:rFonts w:ascii="Times New Roman" w:hAnsi="Times New Roman"/>
          <w:sz w:val="24"/>
        </w:rPr>
        <w:t xml:space="preserve"> ir nepriklausom</w:t>
      </w:r>
      <w:r w:rsidR="003400B5">
        <w:rPr>
          <w:rFonts w:ascii="Times New Roman" w:hAnsi="Times New Roman"/>
          <w:sz w:val="24"/>
        </w:rPr>
        <w:t>iems</w:t>
      </w:r>
      <w:r w:rsidRPr="003840F3">
        <w:rPr>
          <w:rFonts w:ascii="Times New Roman" w:hAnsi="Times New Roman"/>
          <w:sz w:val="24"/>
        </w:rPr>
        <w:t xml:space="preserve"> šilumos gamintoja</w:t>
      </w:r>
      <w:r w:rsidR="003400B5">
        <w:rPr>
          <w:rFonts w:ascii="Times New Roman" w:hAnsi="Times New Roman"/>
          <w:sz w:val="24"/>
        </w:rPr>
        <w:t>ms</w:t>
      </w:r>
      <w:r w:rsidRPr="003840F3">
        <w:rPr>
          <w:rFonts w:ascii="Times New Roman" w:hAnsi="Times New Roman"/>
          <w:sz w:val="24"/>
        </w:rPr>
        <w:t xml:space="preserve"> (</w:t>
      </w:r>
      <w:r w:rsidR="00B50825" w:rsidRPr="003840F3">
        <w:rPr>
          <w:rFonts w:ascii="Times New Roman" w:hAnsi="Times New Roman"/>
          <w:sz w:val="24"/>
        </w:rPr>
        <w:t xml:space="preserve">toliau – </w:t>
      </w:r>
      <w:r w:rsidRPr="003840F3">
        <w:rPr>
          <w:rFonts w:ascii="Times New Roman" w:hAnsi="Times New Roman"/>
          <w:sz w:val="24"/>
        </w:rPr>
        <w:t xml:space="preserve">NŠG), kurie tik gamina </w:t>
      </w:r>
      <w:r w:rsidR="00B50825" w:rsidRPr="003840F3">
        <w:rPr>
          <w:rFonts w:ascii="Times New Roman" w:hAnsi="Times New Roman"/>
          <w:sz w:val="24"/>
        </w:rPr>
        <w:t>ir</w:t>
      </w:r>
      <w:r w:rsidRPr="003840F3">
        <w:rPr>
          <w:rFonts w:ascii="Times New Roman" w:hAnsi="Times New Roman"/>
          <w:sz w:val="24"/>
        </w:rPr>
        <w:t xml:space="preserve"> parduoda turimą šilumą CŠT įmonei. </w:t>
      </w:r>
    </w:p>
    <w:p w14:paraId="32B7F1FC" w14:textId="4824C95F" w:rsidR="00D56E08" w:rsidRPr="00332FBE" w:rsidRDefault="00F5210B" w:rsidP="00332FBE">
      <w:pPr>
        <w:spacing w:before="120" w:after="0" w:line="240" w:lineRule="auto"/>
        <w:ind w:firstLine="851"/>
        <w:jc w:val="both"/>
        <w:rPr>
          <w:rFonts w:ascii="Times New Roman" w:hAnsi="Times New Roman"/>
          <w:sz w:val="24"/>
        </w:rPr>
      </w:pPr>
      <w:r w:rsidRPr="003840F3">
        <w:rPr>
          <w:rFonts w:ascii="Times New Roman" w:hAnsi="Times New Roman"/>
          <w:sz w:val="24"/>
        </w:rPr>
        <w:t xml:space="preserve">CŠT įmonės vykdo veiklą pagal licencijavimo taisyklėse ir kituose </w:t>
      </w:r>
      <w:r w:rsidR="00B50825" w:rsidRPr="003840F3">
        <w:rPr>
          <w:rFonts w:ascii="Times New Roman" w:hAnsi="Times New Roman"/>
          <w:sz w:val="24"/>
        </w:rPr>
        <w:t xml:space="preserve">teisės aktuose </w:t>
      </w:r>
      <w:r w:rsidRPr="003840F3">
        <w:rPr>
          <w:rFonts w:ascii="Times New Roman" w:hAnsi="Times New Roman"/>
          <w:sz w:val="24"/>
        </w:rPr>
        <w:t xml:space="preserve"> nustatytus reikalavimus, turi prisiimti tiek </w:t>
      </w:r>
      <w:r w:rsidRPr="00332FBE">
        <w:rPr>
          <w:rFonts w:ascii="Times New Roman" w:hAnsi="Times New Roman"/>
          <w:sz w:val="24"/>
        </w:rPr>
        <w:t xml:space="preserve">juridinę, tiek materialinę atsakomybę už aprūpinimo šiluma ir karštu vandeniu parametrus, už tiekimo nepertraukiamumą ir t.t. Tuo tarpu galiojančioje šilumos ūkio teisinėje bazėje, nepriklausomiems šilumos gamintojams palikta didelė sprendimų ir veiklos laisvė, nors jų veikla susijusi su </w:t>
      </w:r>
      <w:r w:rsidR="00C16BFB" w:rsidRPr="00332FBE">
        <w:rPr>
          <w:rFonts w:ascii="Times New Roman" w:hAnsi="Times New Roman"/>
          <w:sz w:val="24"/>
        </w:rPr>
        <w:t xml:space="preserve">tos pačios </w:t>
      </w:r>
      <w:r w:rsidRPr="00332FBE">
        <w:rPr>
          <w:rFonts w:ascii="Times New Roman" w:hAnsi="Times New Roman"/>
          <w:sz w:val="24"/>
        </w:rPr>
        <w:t>labai atsakingos viešosios paslaugos užtikrinimu. Pavyzdžiui, išskyrus gaminamos šilumos kainų ribojim</w:t>
      </w:r>
      <w:r w:rsidR="00C16BFB" w:rsidRPr="00332FBE">
        <w:rPr>
          <w:rFonts w:ascii="Times New Roman" w:hAnsi="Times New Roman"/>
          <w:sz w:val="24"/>
        </w:rPr>
        <w:t>ą</w:t>
      </w:r>
      <w:r w:rsidRPr="00332FBE">
        <w:rPr>
          <w:rFonts w:ascii="Times New Roman" w:hAnsi="Times New Roman"/>
          <w:sz w:val="24"/>
        </w:rPr>
        <w:t xml:space="preserve"> nereguliuojamiems NŠG iš esmės nėra kitų ekonominių veiklos ribojimų ar reguliavimų.</w:t>
      </w:r>
    </w:p>
    <w:p w14:paraId="4E9511F6" w14:textId="5280B53D" w:rsidR="00F5210B" w:rsidRPr="00332FBE" w:rsidRDefault="00D56E08" w:rsidP="00332FBE">
      <w:pPr>
        <w:spacing w:before="120" w:after="0" w:line="240" w:lineRule="auto"/>
        <w:ind w:firstLine="851"/>
        <w:jc w:val="both"/>
        <w:rPr>
          <w:rFonts w:ascii="Times New Roman" w:hAnsi="Times New Roman"/>
          <w:sz w:val="24"/>
        </w:rPr>
      </w:pPr>
      <w:r w:rsidRPr="00332FBE">
        <w:rPr>
          <w:rFonts w:ascii="Times New Roman" w:hAnsi="Times New Roman"/>
          <w:sz w:val="24"/>
        </w:rPr>
        <w:t>Toks NŠG veiklos reglamentavimas sudaro prielaidas be jokių juridinių ar finansinių pasekmių laikinai sustabdyti veiklą, nedalyvaujant mėnesiniuose šilumos gamybos aukcionuose</w:t>
      </w:r>
      <w:r w:rsidR="00B50825" w:rsidRPr="00332FBE">
        <w:rPr>
          <w:rFonts w:ascii="Times New Roman" w:hAnsi="Times New Roman"/>
          <w:sz w:val="24"/>
        </w:rPr>
        <w:t>,</w:t>
      </w:r>
      <w:r w:rsidRPr="00332FBE">
        <w:rPr>
          <w:rFonts w:ascii="Times New Roman" w:hAnsi="Times New Roman"/>
          <w:sz w:val="24"/>
        </w:rPr>
        <w:t xml:space="preserve"> ar iš viso pasitraukti iš ribotos uždaros šilumos tiekimo veiklos, nesant ekonominės motyvacijos ar dėl kitų priežasčių. Pažymėtina, kad kai kuriose CŠT sistemose NŠG yra vieninteliai ar dominuojantys šilumos gamintojai ir jų operatyvus pakeitimas neįmanomas nei technologiškai</w:t>
      </w:r>
      <w:r w:rsidR="00335FD0" w:rsidRPr="00332FBE">
        <w:rPr>
          <w:rFonts w:ascii="Times New Roman" w:hAnsi="Times New Roman"/>
          <w:sz w:val="24"/>
        </w:rPr>
        <w:t>,</w:t>
      </w:r>
      <w:r w:rsidRPr="00332FBE">
        <w:rPr>
          <w:rFonts w:ascii="Times New Roman" w:hAnsi="Times New Roman"/>
          <w:sz w:val="24"/>
        </w:rPr>
        <w:t xml:space="preserve"> nei finansiškai</w:t>
      </w:r>
      <w:r w:rsidR="00335FD0" w:rsidRPr="00332FBE">
        <w:rPr>
          <w:rFonts w:ascii="Times New Roman" w:hAnsi="Times New Roman"/>
          <w:sz w:val="24"/>
        </w:rPr>
        <w:t xml:space="preserve">, kadangi alternatyvūs šilumos gamybos šaltiniai </w:t>
      </w:r>
      <w:r w:rsidR="00C16BFB" w:rsidRPr="00332FBE">
        <w:rPr>
          <w:rFonts w:ascii="Times New Roman" w:hAnsi="Times New Roman"/>
          <w:sz w:val="24"/>
        </w:rPr>
        <w:t xml:space="preserve">gali būti </w:t>
      </w:r>
      <w:r w:rsidR="00335FD0" w:rsidRPr="00332FBE">
        <w:rPr>
          <w:rFonts w:ascii="Times New Roman" w:hAnsi="Times New Roman"/>
          <w:sz w:val="24"/>
        </w:rPr>
        <w:t>pastatomi tik per 2-4 metus.</w:t>
      </w:r>
      <w:r w:rsidRPr="00332FBE">
        <w:rPr>
          <w:rFonts w:ascii="Times New Roman" w:hAnsi="Times New Roman"/>
          <w:sz w:val="24"/>
        </w:rPr>
        <w:t xml:space="preserve">     </w:t>
      </w:r>
    </w:p>
    <w:p w14:paraId="0E2958A6" w14:textId="38E9299D" w:rsidR="00A41F79" w:rsidRPr="00332FBE" w:rsidRDefault="00335FD0" w:rsidP="00332FBE">
      <w:pPr>
        <w:spacing w:before="120" w:after="0" w:line="240" w:lineRule="auto"/>
        <w:ind w:firstLine="851"/>
        <w:jc w:val="both"/>
        <w:rPr>
          <w:rFonts w:ascii="Times New Roman" w:hAnsi="Times New Roman"/>
          <w:sz w:val="24"/>
        </w:rPr>
      </w:pPr>
      <w:r w:rsidRPr="00332FBE">
        <w:rPr>
          <w:rFonts w:ascii="Times New Roman" w:hAnsi="Times New Roman"/>
          <w:sz w:val="24"/>
        </w:rPr>
        <w:t xml:space="preserve">Neprognozuojamas NŠG dalyvavimas ar nedalyvavimas šilumos gamybos veikloje kelia ypatingai didelę riziką energetinės krizės sąlygomis. </w:t>
      </w:r>
      <w:r w:rsidR="003840F3" w:rsidRPr="00332FBE">
        <w:rPr>
          <w:rFonts w:ascii="Times New Roman" w:hAnsi="Times New Roman"/>
          <w:sz w:val="24"/>
        </w:rPr>
        <w:t>L</w:t>
      </w:r>
      <w:r w:rsidR="00277423" w:rsidRPr="00332FBE">
        <w:rPr>
          <w:rFonts w:ascii="Times New Roman" w:hAnsi="Times New Roman"/>
          <w:sz w:val="24"/>
        </w:rPr>
        <w:t>ietuvos</w:t>
      </w:r>
      <w:r w:rsidR="00A41F79" w:rsidRPr="00332FBE">
        <w:rPr>
          <w:rFonts w:ascii="Times New Roman" w:hAnsi="Times New Roman"/>
          <w:sz w:val="24"/>
        </w:rPr>
        <w:t xml:space="preserve"> </w:t>
      </w:r>
      <w:r w:rsidR="00D816C1" w:rsidRPr="00332FBE">
        <w:rPr>
          <w:rFonts w:ascii="Times New Roman" w:hAnsi="Times New Roman"/>
          <w:sz w:val="24"/>
        </w:rPr>
        <w:t xml:space="preserve">šilumos tiekėjų asociacija (toliau – Asociacija) </w:t>
      </w:r>
      <w:r w:rsidR="00500C82" w:rsidRPr="00332FBE">
        <w:rPr>
          <w:rFonts w:ascii="Times New Roman" w:hAnsi="Times New Roman"/>
          <w:sz w:val="24"/>
        </w:rPr>
        <w:t xml:space="preserve">ne kartą kreipėsi į valstybės įstaigas ir institucijas dėl galimos energetinės krizės ir tinkamo jai pasiruošimo (Asociacijos 2022-06-08 raštas Nr. 61, 2022-03-29 raštas Nr. 34). Energetikos ministerija savo raštuose – atsakymuose yra nurodžiusi: </w:t>
      </w:r>
    </w:p>
    <w:p w14:paraId="25A6CA19" w14:textId="716086EC" w:rsidR="00500C82" w:rsidRPr="00332FBE" w:rsidRDefault="00500C82" w:rsidP="00332FBE">
      <w:pPr>
        <w:spacing w:before="120" w:after="0" w:line="240" w:lineRule="auto"/>
        <w:jc w:val="both"/>
        <w:rPr>
          <w:rFonts w:ascii="Times New Roman" w:hAnsi="Times New Roman"/>
          <w:sz w:val="24"/>
        </w:rPr>
      </w:pPr>
      <w:r w:rsidRPr="00332FBE">
        <w:rPr>
          <w:rFonts w:ascii="Times New Roman" w:hAnsi="Times New Roman"/>
          <w:sz w:val="24"/>
        </w:rPr>
        <w:t>„</w:t>
      </w:r>
      <w:r w:rsidR="00BF0990" w:rsidRPr="00332FBE">
        <w:rPr>
          <w:rFonts w:ascii="Times New Roman" w:hAnsi="Times New Roman"/>
          <w:i/>
          <w:iCs/>
          <w:sz w:val="24"/>
        </w:rPr>
        <w:t>Energetikos ministerijos nuomone, ruošiantis 2022-2023 m. šildymo sezonui reikėtų maksimaliai išnaudoti galimybes užsitikrinti didžiąją dalį šilumos gamybai reikalingų išteklių išankstinėmis (ilgalaikėmis) sutartimis, rezervo sandoriais šildymo sezonui, neatidėlioti energijos išteklių įsigijimo trumpalaikiais sandoriais &lt;...&gt;</w:t>
      </w:r>
      <w:r w:rsidR="00BF0990" w:rsidRPr="00332FBE">
        <w:rPr>
          <w:rFonts w:ascii="Times New Roman" w:hAnsi="Times New Roman"/>
          <w:sz w:val="24"/>
        </w:rPr>
        <w:t>“</w:t>
      </w:r>
      <w:r w:rsidR="00BF0990" w:rsidRPr="00332FBE">
        <w:rPr>
          <w:rStyle w:val="FootnoteReference"/>
          <w:rFonts w:ascii="Times New Roman" w:hAnsi="Times New Roman"/>
          <w:sz w:val="24"/>
        </w:rPr>
        <w:footnoteReference w:id="1"/>
      </w:r>
      <w:r w:rsidR="00BF0990" w:rsidRPr="00332FBE">
        <w:rPr>
          <w:rFonts w:ascii="Times New Roman" w:hAnsi="Times New Roman"/>
          <w:sz w:val="24"/>
        </w:rPr>
        <w:t>;</w:t>
      </w:r>
    </w:p>
    <w:p w14:paraId="71A2D322" w14:textId="5EEB3926" w:rsidR="00BF0990" w:rsidRPr="00332FBE" w:rsidRDefault="00BF0990" w:rsidP="00332FBE">
      <w:pPr>
        <w:spacing w:before="120" w:after="0" w:line="240" w:lineRule="auto"/>
        <w:jc w:val="both"/>
        <w:rPr>
          <w:rFonts w:ascii="Times New Roman" w:hAnsi="Times New Roman"/>
          <w:sz w:val="24"/>
        </w:rPr>
      </w:pPr>
      <w:r w:rsidRPr="00332FBE">
        <w:rPr>
          <w:rFonts w:ascii="Times New Roman" w:hAnsi="Times New Roman"/>
          <w:sz w:val="24"/>
        </w:rPr>
        <w:t>„</w:t>
      </w:r>
      <w:r w:rsidRPr="00332FBE">
        <w:rPr>
          <w:rFonts w:ascii="Times New Roman" w:hAnsi="Times New Roman"/>
          <w:i/>
          <w:iCs/>
          <w:sz w:val="24"/>
        </w:rPr>
        <w:t>Energetikos ministerija, taip pat atsižvelgdama į tai, kad Lietuvos Respublikos vietos savivaldos įstatymas nustato, kad šilumos tiekimo organizavimas yra savarankiškoji savivaldybių funkcija, ragina savivaldybes imtis neatidėliotinų veiksmų siekiant užsitikrinti šilumos gamybai reikalingų energijos išteklių tiekimą 2022-2023 m. šildymo sezonui, įsivertinti energijos išteklių poreikius ir tiekimo šaltinius, bendradarbiauti su šilumos ir biokuro gamintojais sprendžiant biokuro žaliavos atsargų kaupimo klausimus</w:t>
      </w:r>
      <w:r w:rsidRPr="00332FBE">
        <w:rPr>
          <w:rFonts w:ascii="Times New Roman" w:hAnsi="Times New Roman"/>
          <w:sz w:val="24"/>
        </w:rPr>
        <w:t>“</w:t>
      </w:r>
      <w:r w:rsidRPr="00332FBE">
        <w:rPr>
          <w:rStyle w:val="FootnoteReference"/>
          <w:rFonts w:ascii="Times New Roman" w:hAnsi="Times New Roman"/>
          <w:sz w:val="24"/>
        </w:rPr>
        <w:footnoteReference w:id="2"/>
      </w:r>
      <w:r w:rsidR="00335FD0" w:rsidRPr="00332FBE">
        <w:rPr>
          <w:rFonts w:ascii="Times New Roman" w:hAnsi="Times New Roman"/>
          <w:sz w:val="24"/>
        </w:rPr>
        <w:t xml:space="preserve">  </w:t>
      </w:r>
    </w:p>
    <w:p w14:paraId="28222C30" w14:textId="1CC9A6CA" w:rsidR="0018287B" w:rsidRPr="00332FBE" w:rsidRDefault="00B40C98" w:rsidP="00332FBE">
      <w:pPr>
        <w:spacing w:before="120" w:after="0" w:line="240" w:lineRule="auto"/>
        <w:ind w:firstLine="720"/>
        <w:jc w:val="both"/>
        <w:rPr>
          <w:rFonts w:ascii="Times New Roman" w:hAnsi="Times New Roman"/>
          <w:sz w:val="24"/>
        </w:rPr>
      </w:pPr>
      <w:r w:rsidRPr="00332FBE">
        <w:rPr>
          <w:rFonts w:ascii="Times New Roman" w:hAnsi="Times New Roman"/>
          <w:sz w:val="24"/>
        </w:rPr>
        <w:lastRenderedPageBreak/>
        <w:t>Kaip matyti iš Energetikos ministerijos pateiktų rekomendacijų, prim</w:t>
      </w:r>
      <w:r w:rsidR="00DD00D1" w:rsidRPr="00332FBE">
        <w:rPr>
          <w:rFonts w:ascii="Times New Roman" w:hAnsi="Times New Roman"/>
          <w:sz w:val="24"/>
        </w:rPr>
        <w:t>y</w:t>
      </w:r>
      <w:r w:rsidRPr="00332FBE">
        <w:rPr>
          <w:rFonts w:ascii="Times New Roman" w:hAnsi="Times New Roman"/>
          <w:sz w:val="24"/>
        </w:rPr>
        <w:t>gtinai siūloma didžiąją dalį reikalingo kuro šilumos tiekėjams užsitikrinti iš anksto ilgalaikėmis sutartimis prieš tai įsivertin</w:t>
      </w:r>
      <w:r w:rsidR="00C16BFB" w:rsidRPr="00332FBE">
        <w:rPr>
          <w:rFonts w:ascii="Times New Roman" w:hAnsi="Times New Roman"/>
          <w:sz w:val="24"/>
        </w:rPr>
        <w:t xml:space="preserve">us </w:t>
      </w:r>
      <w:r w:rsidRPr="00332FBE">
        <w:rPr>
          <w:rFonts w:ascii="Times New Roman" w:hAnsi="Times New Roman"/>
          <w:sz w:val="24"/>
        </w:rPr>
        <w:t xml:space="preserve">poreikius. Kuro poreikis priklauso nuo šilumos gamybos </w:t>
      </w:r>
      <w:r w:rsidR="00C16BFB" w:rsidRPr="00332FBE">
        <w:rPr>
          <w:rFonts w:ascii="Times New Roman" w:hAnsi="Times New Roman"/>
          <w:sz w:val="24"/>
        </w:rPr>
        <w:t>apimčių</w:t>
      </w:r>
      <w:r w:rsidRPr="00332FBE">
        <w:rPr>
          <w:rFonts w:ascii="Times New Roman" w:hAnsi="Times New Roman"/>
          <w:sz w:val="24"/>
        </w:rPr>
        <w:t xml:space="preserve">, o </w:t>
      </w:r>
      <w:r w:rsidR="00C16BFB" w:rsidRPr="00332FBE">
        <w:rPr>
          <w:rFonts w:ascii="Times New Roman" w:hAnsi="Times New Roman"/>
          <w:sz w:val="24"/>
        </w:rPr>
        <w:t xml:space="preserve">šias </w:t>
      </w:r>
      <w:r w:rsidRPr="00332FBE">
        <w:rPr>
          <w:rFonts w:ascii="Times New Roman" w:hAnsi="Times New Roman"/>
          <w:sz w:val="24"/>
        </w:rPr>
        <w:t xml:space="preserve">lemia lauko oro temperatūra ir nuperkamas šilumos kiekis iš NŠG. </w:t>
      </w:r>
      <w:r w:rsidR="0018287B" w:rsidRPr="00332FBE">
        <w:rPr>
          <w:rFonts w:ascii="Times New Roman" w:hAnsi="Times New Roman"/>
          <w:sz w:val="24"/>
        </w:rPr>
        <w:t xml:space="preserve">Deja, savivaldybės neturi jokių juridinių, ekonominių ar kitokių svertų paveikti NŠG sprendimus, nes jų veiklą reglamentuoja daugiausiai </w:t>
      </w:r>
      <w:r w:rsidR="003400B5" w:rsidRPr="00332FBE">
        <w:rPr>
          <w:rFonts w:ascii="Times New Roman" w:hAnsi="Times New Roman"/>
          <w:sz w:val="24"/>
        </w:rPr>
        <w:t>Valstybinės energetikos reguliavimo tarybos (toliau – Taryba)</w:t>
      </w:r>
      <w:r w:rsidR="0018287B" w:rsidRPr="00332FBE">
        <w:rPr>
          <w:rFonts w:ascii="Times New Roman" w:hAnsi="Times New Roman"/>
          <w:sz w:val="24"/>
        </w:rPr>
        <w:t xml:space="preserve"> priimami teisės aktai (</w:t>
      </w:r>
      <w:r w:rsidR="003400B5" w:rsidRPr="00332FBE">
        <w:rPr>
          <w:rFonts w:ascii="Times New Roman" w:hAnsi="Times New Roman"/>
          <w:sz w:val="24"/>
        </w:rPr>
        <w:t>š</w:t>
      </w:r>
      <w:r w:rsidR="0018287B" w:rsidRPr="00332FBE">
        <w:rPr>
          <w:rFonts w:ascii="Times New Roman" w:hAnsi="Times New Roman"/>
          <w:sz w:val="24"/>
        </w:rPr>
        <w:t xml:space="preserve">ilumos supirkimo sąlygos, prisijungimo sąlygos ir t.t.). CŠT ir NŠG ekonominiai santykiai pagrįsti nuolatine konkurencija ir skirtingais finansiniais interesais. Tai riboja bendradarbiavimo galimybes. Juo labiau, kad NŠG turi tik </w:t>
      </w:r>
      <w:r w:rsidR="003400B5" w:rsidRPr="00332FBE">
        <w:rPr>
          <w:rFonts w:ascii="Times New Roman" w:hAnsi="Times New Roman"/>
          <w:sz w:val="24"/>
        </w:rPr>
        <w:t xml:space="preserve">didelį </w:t>
      </w:r>
      <w:r w:rsidR="0018287B" w:rsidRPr="00332FBE">
        <w:rPr>
          <w:rFonts w:ascii="Times New Roman" w:hAnsi="Times New Roman"/>
          <w:sz w:val="24"/>
        </w:rPr>
        <w:t xml:space="preserve">pelno siekimo interesą šilumos tiekimo veikloje. </w:t>
      </w:r>
    </w:p>
    <w:p w14:paraId="6B98315D" w14:textId="1CF1B864" w:rsidR="005D0F48" w:rsidRPr="00332FBE" w:rsidRDefault="00B40C98" w:rsidP="00332FBE">
      <w:pPr>
        <w:spacing w:before="120" w:after="0" w:line="240" w:lineRule="auto"/>
        <w:ind w:firstLine="720"/>
        <w:jc w:val="both"/>
        <w:rPr>
          <w:rFonts w:ascii="Times New Roman" w:hAnsi="Times New Roman"/>
          <w:sz w:val="24"/>
        </w:rPr>
      </w:pPr>
      <w:r w:rsidRPr="00332FBE">
        <w:rPr>
          <w:rFonts w:ascii="Times New Roman" w:hAnsi="Times New Roman"/>
          <w:sz w:val="24"/>
        </w:rPr>
        <w:t xml:space="preserve">Šilumos tiekėjams modeliuojant šilumos gamybos struktūrą ateinančiam šildymo sezonui, atskiruose miestuose </w:t>
      </w:r>
      <w:r w:rsidR="00B65785" w:rsidRPr="00332FBE">
        <w:rPr>
          <w:rFonts w:ascii="Times New Roman" w:hAnsi="Times New Roman"/>
          <w:sz w:val="24"/>
        </w:rPr>
        <w:t xml:space="preserve">(Kaune, Klaipėdoje, Plungėje ir kt.) </w:t>
      </w:r>
      <w:r w:rsidRPr="00332FBE">
        <w:rPr>
          <w:rFonts w:ascii="Times New Roman" w:hAnsi="Times New Roman"/>
          <w:sz w:val="24"/>
        </w:rPr>
        <w:t>reikšmin</w:t>
      </w:r>
      <w:r w:rsidR="00DD00D1" w:rsidRPr="00332FBE">
        <w:rPr>
          <w:rFonts w:ascii="Times New Roman" w:hAnsi="Times New Roman"/>
          <w:sz w:val="24"/>
        </w:rPr>
        <w:t xml:space="preserve">gą </w:t>
      </w:r>
      <w:r w:rsidRPr="00332FBE">
        <w:rPr>
          <w:rFonts w:ascii="Times New Roman" w:hAnsi="Times New Roman"/>
          <w:sz w:val="24"/>
        </w:rPr>
        <w:t xml:space="preserve"> įtaką turi NŠG veikla, kuri reglamentuota </w:t>
      </w:r>
      <w:r w:rsidR="00DD00D1" w:rsidRPr="00332FBE">
        <w:rPr>
          <w:rFonts w:ascii="Times New Roman" w:hAnsi="Times New Roman"/>
          <w:sz w:val="24"/>
        </w:rPr>
        <w:t xml:space="preserve">nacionaliniais </w:t>
      </w:r>
      <w:r w:rsidRPr="00332FBE">
        <w:rPr>
          <w:rFonts w:ascii="Times New Roman" w:hAnsi="Times New Roman"/>
          <w:sz w:val="24"/>
        </w:rPr>
        <w:t xml:space="preserve">teisės aktais. Šilumos ūkio įstatymo </w:t>
      </w:r>
      <w:r w:rsidR="00B65785" w:rsidRPr="00332FBE">
        <w:rPr>
          <w:rFonts w:ascii="Times New Roman" w:hAnsi="Times New Roman"/>
          <w:sz w:val="24"/>
        </w:rPr>
        <w:t>10</w:t>
      </w:r>
      <w:r w:rsidR="00B65785" w:rsidRPr="00332FBE">
        <w:rPr>
          <w:rFonts w:ascii="Times New Roman" w:hAnsi="Times New Roman"/>
          <w:sz w:val="24"/>
          <w:vertAlign w:val="superscript"/>
        </w:rPr>
        <w:t>1</w:t>
      </w:r>
      <w:r w:rsidR="00B65785" w:rsidRPr="00332FBE">
        <w:rPr>
          <w:rFonts w:ascii="Times New Roman" w:hAnsi="Times New Roman"/>
          <w:sz w:val="24"/>
        </w:rPr>
        <w:t xml:space="preserve"> straipsnio 1 dalis reglamentuoja, kad </w:t>
      </w:r>
      <w:r w:rsidR="00B65785" w:rsidRPr="00332FBE">
        <w:rPr>
          <w:rFonts w:ascii="Times New Roman" w:hAnsi="Times New Roman"/>
          <w:i/>
          <w:iCs/>
          <w:sz w:val="24"/>
        </w:rPr>
        <w:t>Iš nepriklausomų šilumos gamintojų superkamos ir (ar) šilumos tiekėjų turimais šilumos gamybos įrenginiais gaminamos šilumos kiekis nustatomas šilumos aukciono, kurį organizuoja energijos išteklių biržos operatorius, būdu. Energijos išteklių biržos operatorius Šilumos aukciono reglamente nustatyta tvarka valdo, palaiko ir administruoja šilumos aukciono duomenų valdymo sistemą ir šilumos aukciono informacinę sistemą. Šilumos aukciono reglamentą, kuris nustato šilumos aukciono procedūrinius reikalavimus, energijos išteklių biržos operatoriaus teikimu tvirtina Taryba</w:t>
      </w:r>
      <w:r w:rsidR="00B65785" w:rsidRPr="00332FBE">
        <w:rPr>
          <w:rFonts w:ascii="Times New Roman" w:hAnsi="Times New Roman"/>
          <w:sz w:val="24"/>
        </w:rPr>
        <w:t>.</w:t>
      </w:r>
    </w:p>
    <w:p w14:paraId="5AAC0AF7" w14:textId="70EA6838" w:rsidR="006E3C23" w:rsidRPr="00332FBE" w:rsidRDefault="006E3C23" w:rsidP="00332FBE">
      <w:pPr>
        <w:spacing w:before="120" w:after="0" w:line="240" w:lineRule="auto"/>
        <w:ind w:firstLine="720"/>
        <w:jc w:val="both"/>
        <w:rPr>
          <w:rFonts w:ascii="Times New Roman" w:hAnsi="Times New Roman"/>
          <w:sz w:val="24"/>
        </w:rPr>
      </w:pPr>
      <w:r w:rsidRPr="00332FBE">
        <w:rPr>
          <w:rFonts w:ascii="Times New Roman" w:hAnsi="Times New Roman"/>
          <w:sz w:val="24"/>
        </w:rPr>
        <w:t xml:space="preserve">Asociacijos vertinimu, nei Šilumos ūkio įstatymas, nei Šilumos aukciono reglamentas, nei sutartiniai santykiai tarp NŠG ir energijos išteklių biržos operatoriaus ar šilumos tiekėjų nenustato prievolės aukciono dalyviams dalyvauti šilumos gamybos aukcionuose. </w:t>
      </w:r>
      <w:r w:rsidR="0094033D" w:rsidRPr="00332FBE">
        <w:rPr>
          <w:rFonts w:ascii="Times New Roman" w:hAnsi="Times New Roman"/>
          <w:sz w:val="24"/>
        </w:rPr>
        <w:t>Esama</w:t>
      </w:r>
      <w:r w:rsidRPr="00332FBE">
        <w:rPr>
          <w:rFonts w:ascii="Times New Roman" w:hAnsi="Times New Roman"/>
          <w:sz w:val="24"/>
        </w:rPr>
        <w:t xml:space="preserve"> tvarka suteikia laisvę NŠG nedalyvauti aukcione, neteikti šilumos gamybos siūlymų ir negaminti šilumos, jei nenorima</w:t>
      </w:r>
      <w:r w:rsidR="00DD00D1" w:rsidRPr="00332FBE">
        <w:rPr>
          <w:rFonts w:ascii="Times New Roman" w:hAnsi="Times New Roman"/>
          <w:sz w:val="24"/>
        </w:rPr>
        <w:t xml:space="preserve"> ar nėra intereso</w:t>
      </w:r>
      <w:r w:rsidRPr="00332FBE">
        <w:rPr>
          <w:rFonts w:ascii="Times New Roman" w:hAnsi="Times New Roman"/>
          <w:sz w:val="24"/>
        </w:rPr>
        <w:t>, nors tuo metu ši</w:t>
      </w:r>
      <w:r w:rsidR="0094033D" w:rsidRPr="00332FBE">
        <w:rPr>
          <w:rFonts w:ascii="Times New Roman" w:hAnsi="Times New Roman"/>
          <w:sz w:val="24"/>
        </w:rPr>
        <w:t>e</w:t>
      </w:r>
      <w:r w:rsidRPr="00332FBE">
        <w:rPr>
          <w:rFonts w:ascii="Times New Roman" w:hAnsi="Times New Roman"/>
          <w:sz w:val="24"/>
        </w:rPr>
        <w:t xml:space="preserve"> gamintojai </w:t>
      </w:r>
      <w:r w:rsidR="003400B5" w:rsidRPr="00332FBE">
        <w:rPr>
          <w:rFonts w:ascii="Times New Roman" w:hAnsi="Times New Roman"/>
          <w:sz w:val="24"/>
        </w:rPr>
        <w:t xml:space="preserve">CŠT </w:t>
      </w:r>
      <w:r w:rsidRPr="00332FBE">
        <w:rPr>
          <w:rFonts w:ascii="Times New Roman" w:hAnsi="Times New Roman"/>
          <w:sz w:val="24"/>
        </w:rPr>
        <w:t xml:space="preserve">sistemai yra reikalingi. </w:t>
      </w:r>
    </w:p>
    <w:p w14:paraId="76EFC776" w14:textId="7A52E797" w:rsidR="006E3C23" w:rsidRPr="00332FBE" w:rsidRDefault="006E3C23" w:rsidP="00332FBE">
      <w:pPr>
        <w:spacing w:before="120" w:after="0" w:line="240" w:lineRule="auto"/>
        <w:ind w:firstLine="720"/>
        <w:jc w:val="both"/>
        <w:rPr>
          <w:rFonts w:ascii="Times New Roman" w:hAnsi="Times New Roman"/>
          <w:sz w:val="24"/>
        </w:rPr>
      </w:pPr>
      <w:r w:rsidRPr="00332FBE">
        <w:rPr>
          <w:rFonts w:ascii="Times New Roman" w:hAnsi="Times New Roman"/>
          <w:sz w:val="24"/>
        </w:rPr>
        <w:t xml:space="preserve">Taip pat šilumos tiekėjai sudarydami ilgalaikes gamtinių dujų pirkimo sutartis privalo įvertinti, kiek šilumos bus pagaminta NŠG įrenginiuose, tačiau ar pastarieji dirbs ir teiks siūlymus šilumos gamybos aukcionui – neaišku. Neapibrėžta situacija, kuomet teisės aktais neįpareigojami rinkos dalyviai dalyvauti šilumos gamybos aukcionuose, kai to labiausiai reikia (šildymo sezono metu), turi neigiamą įtaką patikimam šilumos tiekimui, kadangi </w:t>
      </w:r>
      <w:r w:rsidR="003400B5" w:rsidRPr="00332FBE">
        <w:rPr>
          <w:rFonts w:ascii="Times New Roman" w:hAnsi="Times New Roman"/>
          <w:sz w:val="24"/>
        </w:rPr>
        <w:t xml:space="preserve">CŠT </w:t>
      </w:r>
      <w:r w:rsidRPr="00332FBE">
        <w:rPr>
          <w:rFonts w:ascii="Times New Roman" w:hAnsi="Times New Roman"/>
          <w:sz w:val="24"/>
        </w:rPr>
        <w:t>įmonės negali</w:t>
      </w:r>
      <w:r w:rsidR="0094033D" w:rsidRPr="00332FBE">
        <w:rPr>
          <w:rFonts w:ascii="Times New Roman" w:hAnsi="Times New Roman"/>
          <w:sz w:val="24"/>
        </w:rPr>
        <w:t xml:space="preserve"> iš anksto</w:t>
      </w:r>
      <w:r w:rsidRPr="00332FBE">
        <w:rPr>
          <w:rFonts w:ascii="Times New Roman" w:hAnsi="Times New Roman"/>
          <w:sz w:val="24"/>
        </w:rPr>
        <w:t xml:space="preserve"> įvertinti užsakomų gamtinių dujų pajėgumo poreikio. Jei </w:t>
      </w:r>
      <w:r w:rsidR="00B20F05" w:rsidRPr="00332FBE">
        <w:rPr>
          <w:rFonts w:ascii="Times New Roman" w:hAnsi="Times New Roman"/>
          <w:sz w:val="24"/>
        </w:rPr>
        <w:t xml:space="preserve">dujų iš anksto bus užsakyta per mažai, vėliau papildomas dujų pajėgumų užsakymas tampa labai brangus, o </w:t>
      </w:r>
      <w:r w:rsidR="00DD00D1" w:rsidRPr="00332FBE">
        <w:rPr>
          <w:rFonts w:ascii="Times New Roman" w:hAnsi="Times New Roman"/>
          <w:sz w:val="24"/>
        </w:rPr>
        <w:t>energetinės krizės laikotarpiu  kyla</w:t>
      </w:r>
      <w:r w:rsidR="00B20F05" w:rsidRPr="00332FBE">
        <w:rPr>
          <w:rFonts w:ascii="Times New Roman" w:hAnsi="Times New Roman"/>
          <w:sz w:val="24"/>
        </w:rPr>
        <w:t xml:space="preserve"> rizika, kad dujų apskritai </w:t>
      </w:r>
      <w:r w:rsidR="0094033D" w:rsidRPr="00332FBE">
        <w:rPr>
          <w:rFonts w:ascii="Times New Roman" w:hAnsi="Times New Roman"/>
          <w:sz w:val="24"/>
        </w:rPr>
        <w:t xml:space="preserve">žiemos metu </w:t>
      </w:r>
      <w:r w:rsidR="00B20F05" w:rsidRPr="00332FBE">
        <w:rPr>
          <w:rFonts w:ascii="Times New Roman" w:hAnsi="Times New Roman"/>
          <w:sz w:val="24"/>
        </w:rPr>
        <w:t>truks. Bet kokiu atveju, jei NŠG nedalyvauja dėl vienokių ar kitokių priežasčių šilumos gamybos aukcione, šilumos tiekėjas priverstas deginti daugiau dujų, kurios gali būti net 10 kartų brangesnės už biokurą, o</w:t>
      </w:r>
      <w:r w:rsidR="0094033D" w:rsidRPr="00332FBE">
        <w:rPr>
          <w:rFonts w:ascii="Times New Roman" w:hAnsi="Times New Roman"/>
          <w:sz w:val="24"/>
        </w:rPr>
        <w:t xml:space="preserve"> tai</w:t>
      </w:r>
      <w:r w:rsidR="00B20F05" w:rsidRPr="00332FBE">
        <w:rPr>
          <w:rFonts w:ascii="Times New Roman" w:hAnsi="Times New Roman"/>
          <w:sz w:val="24"/>
        </w:rPr>
        <w:t xml:space="preserve"> didelė finansinė našta centralizuotai tiekiamos šilumos vartotojams.</w:t>
      </w:r>
    </w:p>
    <w:p w14:paraId="703F350F" w14:textId="7C210222" w:rsidR="0051627E" w:rsidRPr="003840F3" w:rsidRDefault="00B20F05" w:rsidP="00332FBE">
      <w:pPr>
        <w:spacing w:before="120" w:after="0" w:line="240" w:lineRule="auto"/>
        <w:ind w:firstLine="720"/>
        <w:jc w:val="both"/>
        <w:rPr>
          <w:rFonts w:ascii="Times New Roman" w:hAnsi="Times New Roman"/>
          <w:sz w:val="24"/>
        </w:rPr>
      </w:pPr>
      <w:r w:rsidRPr="00332FBE">
        <w:rPr>
          <w:rFonts w:ascii="Times New Roman" w:hAnsi="Times New Roman"/>
          <w:sz w:val="24"/>
        </w:rPr>
        <w:t xml:space="preserve">Įvertinus tai, kas išdėstyta, prašome teisės aktuose </w:t>
      </w:r>
      <w:r w:rsidRPr="00332FBE">
        <w:rPr>
          <w:rFonts w:ascii="Times New Roman" w:hAnsi="Times New Roman"/>
          <w:b/>
          <w:bCs/>
          <w:sz w:val="24"/>
        </w:rPr>
        <w:t>nustatyti reikalavimą šilumos gamybos aukciono dalyviams privaloma tvarka dalyvauti aukcionuose šildymo sezono metu</w:t>
      </w:r>
      <w:r w:rsidRPr="00332FBE">
        <w:rPr>
          <w:rFonts w:ascii="Times New Roman" w:hAnsi="Times New Roman"/>
          <w:sz w:val="24"/>
        </w:rPr>
        <w:t>. Toks reglamentavimas prisidėtų prie šilumos tiekimo patikimumo gerinimo bei mažiausių sąnaudų principo užtikrinimo vartotojams.</w:t>
      </w:r>
      <w:r w:rsidR="00DD00D1" w:rsidRPr="00332FBE">
        <w:rPr>
          <w:rFonts w:ascii="Times New Roman" w:hAnsi="Times New Roman"/>
          <w:sz w:val="24"/>
        </w:rPr>
        <w:t xml:space="preserve"> Tai ypatingai aktualu energetinės (geopolitinės) krizės sąlygomis</w:t>
      </w:r>
      <w:r w:rsidR="00DD00D1" w:rsidRPr="003840F3">
        <w:rPr>
          <w:rFonts w:ascii="Times New Roman" w:hAnsi="Times New Roman"/>
          <w:sz w:val="24"/>
        </w:rPr>
        <w:t xml:space="preserve">. </w:t>
      </w:r>
    </w:p>
    <w:p w14:paraId="250C4380" w14:textId="77777777" w:rsidR="00881151" w:rsidRPr="003840F3" w:rsidRDefault="00881151" w:rsidP="00332FBE">
      <w:pPr>
        <w:spacing w:after="0" w:line="240" w:lineRule="auto"/>
        <w:jc w:val="both"/>
        <w:rPr>
          <w:rFonts w:ascii="Times New Roman" w:hAnsi="Times New Roman" w:cs="Times New Roman"/>
          <w:sz w:val="24"/>
          <w:szCs w:val="24"/>
        </w:rPr>
      </w:pPr>
    </w:p>
    <w:p w14:paraId="21F8EC71" w14:textId="65936A23" w:rsidR="00033889" w:rsidRPr="003840F3" w:rsidRDefault="00033889" w:rsidP="00332FBE">
      <w:pPr>
        <w:spacing w:line="240" w:lineRule="auto"/>
        <w:rPr>
          <w:rFonts w:ascii="Times New Roman" w:hAnsi="Times New Roman" w:cs="Times New Roman"/>
          <w:sz w:val="24"/>
          <w:szCs w:val="24"/>
        </w:rPr>
      </w:pPr>
    </w:p>
    <w:p w14:paraId="635BBEAB" w14:textId="51AE8CEC" w:rsidR="00033889" w:rsidRPr="003840F3" w:rsidRDefault="00033889" w:rsidP="00332FBE">
      <w:pPr>
        <w:spacing w:line="240" w:lineRule="auto"/>
        <w:ind w:firstLine="851"/>
        <w:rPr>
          <w:rFonts w:ascii="Times New Roman" w:hAnsi="Times New Roman" w:cs="Times New Roman"/>
          <w:sz w:val="24"/>
          <w:szCs w:val="24"/>
        </w:rPr>
      </w:pPr>
    </w:p>
    <w:p w14:paraId="63A0AB89" w14:textId="1934F19C" w:rsidR="00CD4C2E" w:rsidRPr="003840F3" w:rsidRDefault="000A09A5" w:rsidP="00332FBE">
      <w:pPr>
        <w:spacing w:line="240" w:lineRule="auto"/>
        <w:ind w:left="851" w:firstLine="851"/>
        <w:rPr>
          <w:rFonts w:ascii="Times New Roman" w:hAnsi="Times New Roman" w:cs="Times New Roman"/>
          <w:sz w:val="24"/>
          <w:szCs w:val="24"/>
        </w:rPr>
      </w:pPr>
      <w:r w:rsidRPr="003840F3">
        <w:rPr>
          <w:rFonts w:ascii="Times New Roman" w:hAnsi="Times New Roman" w:cs="Times New Roman"/>
          <w:sz w:val="24"/>
          <w:szCs w:val="24"/>
        </w:rPr>
        <w:t>Asociacijos p</w:t>
      </w:r>
      <w:r w:rsidR="00033889" w:rsidRPr="003840F3">
        <w:rPr>
          <w:rFonts w:ascii="Times New Roman" w:hAnsi="Times New Roman" w:cs="Times New Roman"/>
          <w:sz w:val="24"/>
          <w:szCs w:val="24"/>
        </w:rPr>
        <w:t xml:space="preserve">rezidentas </w:t>
      </w:r>
      <w:r w:rsidR="00033889" w:rsidRPr="003840F3">
        <w:rPr>
          <w:rFonts w:ascii="Times New Roman" w:hAnsi="Times New Roman" w:cs="Times New Roman"/>
          <w:sz w:val="24"/>
          <w:szCs w:val="24"/>
        </w:rPr>
        <w:tab/>
      </w:r>
      <w:r w:rsidR="00033889" w:rsidRPr="003840F3">
        <w:rPr>
          <w:rFonts w:ascii="Times New Roman" w:hAnsi="Times New Roman" w:cs="Times New Roman"/>
          <w:sz w:val="24"/>
          <w:szCs w:val="24"/>
        </w:rPr>
        <w:tab/>
      </w:r>
      <w:r w:rsidR="00033889" w:rsidRPr="003840F3">
        <w:rPr>
          <w:rFonts w:ascii="Times New Roman" w:hAnsi="Times New Roman" w:cs="Times New Roman"/>
          <w:sz w:val="24"/>
          <w:szCs w:val="24"/>
        </w:rPr>
        <w:tab/>
      </w:r>
      <w:r w:rsidR="00033889" w:rsidRPr="003840F3">
        <w:rPr>
          <w:rFonts w:ascii="Times New Roman" w:hAnsi="Times New Roman" w:cs="Times New Roman"/>
          <w:sz w:val="24"/>
          <w:szCs w:val="24"/>
        </w:rPr>
        <w:tab/>
        <w:t>dr. Valdas Lukoševičius</w:t>
      </w:r>
    </w:p>
    <w:p w14:paraId="09B84B60" w14:textId="539D7A71" w:rsidR="00033889" w:rsidRPr="003840F3" w:rsidRDefault="00033889" w:rsidP="00332FBE">
      <w:pPr>
        <w:spacing w:line="240" w:lineRule="auto"/>
        <w:rPr>
          <w:rFonts w:ascii="Times New Roman" w:hAnsi="Times New Roman" w:cs="Times New Roman"/>
          <w:sz w:val="24"/>
          <w:szCs w:val="24"/>
        </w:rPr>
      </w:pPr>
    </w:p>
    <w:p w14:paraId="7E304A8F" w14:textId="77777777" w:rsidR="00033889" w:rsidRPr="003840F3" w:rsidRDefault="00033889" w:rsidP="00033889">
      <w:pPr>
        <w:spacing w:line="240" w:lineRule="auto"/>
        <w:rPr>
          <w:rFonts w:ascii="Times New Roman" w:hAnsi="Times New Roman" w:cs="Times New Roman"/>
          <w:sz w:val="24"/>
          <w:szCs w:val="24"/>
        </w:rPr>
      </w:pPr>
    </w:p>
    <w:p w14:paraId="72678583" w14:textId="77777777" w:rsidR="00332FBE" w:rsidRDefault="00332FBE" w:rsidP="00332FBE">
      <w:pPr>
        <w:spacing w:after="0" w:line="240" w:lineRule="auto"/>
        <w:jc w:val="both"/>
        <w:rPr>
          <w:rFonts w:ascii="Times New Roman" w:hAnsi="Times New Roman" w:cs="Times New Roman"/>
          <w:sz w:val="24"/>
          <w:szCs w:val="24"/>
        </w:rPr>
      </w:pPr>
    </w:p>
    <w:p w14:paraId="30611BAB" w14:textId="343F1077" w:rsidR="0051627E" w:rsidRPr="003840F3" w:rsidRDefault="00033889" w:rsidP="00332FBE">
      <w:pPr>
        <w:spacing w:after="0" w:line="240" w:lineRule="auto"/>
        <w:jc w:val="both"/>
        <w:rPr>
          <w:rFonts w:ascii="Times New Roman" w:hAnsi="Times New Roman" w:cs="Times New Roman"/>
          <w:sz w:val="24"/>
          <w:szCs w:val="24"/>
        </w:rPr>
      </w:pPr>
      <w:r w:rsidRPr="003840F3">
        <w:rPr>
          <w:rFonts w:ascii="Times New Roman" w:hAnsi="Times New Roman" w:cs="Times New Roman"/>
          <w:sz w:val="24"/>
          <w:szCs w:val="24"/>
        </w:rPr>
        <w:t xml:space="preserve">M. Paulauskas, tel. (85) 266 7096, el. p. </w:t>
      </w:r>
      <w:hyperlink r:id="rId9" w:history="1">
        <w:r w:rsidRPr="003840F3">
          <w:rPr>
            <w:rStyle w:val="Hyperlink"/>
            <w:rFonts w:ascii="Times New Roman" w:hAnsi="Times New Roman" w:cs="Times New Roman"/>
            <w:sz w:val="24"/>
            <w:szCs w:val="24"/>
          </w:rPr>
          <w:t>mantas@lsta.lt</w:t>
        </w:r>
      </w:hyperlink>
      <w:r w:rsidRPr="003840F3">
        <w:rPr>
          <w:rFonts w:ascii="Times New Roman" w:hAnsi="Times New Roman" w:cs="Times New Roman"/>
          <w:sz w:val="24"/>
          <w:szCs w:val="24"/>
        </w:rPr>
        <w:t xml:space="preserve"> </w:t>
      </w:r>
    </w:p>
    <w:sectPr w:rsidR="0051627E" w:rsidRPr="003840F3" w:rsidSect="0005510C">
      <w:pgSz w:w="11906" w:h="16838"/>
      <w:pgMar w:top="851"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CFE1" w14:textId="77777777" w:rsidR="00353250" w:rsidRDefault="00353250" w:rsidP="00BF0990">
      <w:pPr>
        <w:spacing w:after="0" w:line="240" w:lineRule="auto"/>
      </w:pPr>
      <w:r>
        <w:separator/>
      </w:r>
    </w:p>
  </w:endnote>
  <w:endnote w:type="continuationSeparator" w:id="0">
    <w:p w14:paraId="6F8557D6" w14:textId="77777777" w:rsidR="00353250" w:rsidRDefault="00353250" w:rsidP="00BF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5D93" w14:textId="77777777" w:rsidR="00353250" w:rsidRDefault="00353250" w:rsidP="00BF0990">
      <w:pPr>
        <w:spacing w:after="0" w:line="240" w:lineRule="auto"/>
      </w:pPr>
      <w:r>
        <w:separator/>
      </w:r>
    </w:p>
  </w:footnote>
  <w:footnote w:type="continuationSeparator" w:id="0">
    <w:p w14:paraId="404E7EE6" w14:textId="77777777" w:rsidR="00353250" w:rsidRDefault="00353250" w:rsidP="00BF0990">
      <w:pPr>
        <w:spacing w:after="0" w:line="240" w:lineRule="auto"/>
      </w:pPr>
      <w:r>
        <w:continuationSeparator/>
      </w:r>
    </w:p>
  </w:footnote>
  <w:footnote w:id="1">
    <w:p w14:paraId="1F24FFA7" w14:textId="4F03732D" w:rsidR="00BF0990" w:rsidRPr="00BF0990" w:rsidRDefault="00BF0990" w:rsidP="00BF0990">
      <w:pPr>
        <w:pStyle w:val="FootnoteText"/>
        <w:jc w:val="both"/>
        <w:rPr>
          <w:rFonts w:ascii="Times New Roman" w:hAnsi="Times New Roman" w:cs="Times New Roman"/>
        </w:rPr>
      </w:pPr>
      <w:r w:rsidRPr="00BF0990">
        <w:rPr>
          <w:rStyle w:val="FootnoteReference"/>
          <w:rFonts w:ascii="Times New Roman" w:hAnsi="Times New Roman" w:cs="Times New Roman"/>
        </w:rPr>
        <w:footnoteRef/>
      </w:r>
      <w:r w:rsidRPr="00BF0990">
        <w:rPr>
          <w:rFonts w:ascii="Times New Roman" w:hAnsi="Times New Roman" w:cs="Times New Roman"/>
        </w:rPr>
        <w:t xml:space="preserve"> Energetikos ministerijos 2022-07-12 raštas Nr. (22.2-24 </w:t>
      </w:r>
      <w:proofErr w:type="spellStart"/>
      <w:r w:rsidRPr="00BF0990">
        <w:rPr>
          <w:rFonts w:ascii="Times New Roman" w:hAnsi="Times New Roman" w:cs="Times New Roman"/>
        </w:rPr>
        <w:t>Mr</w:t>
      </w:r>
      <w:proofErr w:type="spellEnd"/>
      <w:r w:rsidRPr="00BF0990">
        <w:rPr>
          <w:rFonts w:ascii="Times New Roman" w:hAnsi="Times New Roman" w:cs="Times New Roman"/>
        </w:rPr>
        <w:t>)3-1141 „Dėl apsirūpinimo kuru ir kitais ištekliais 2022-2023 m. šildymo sezonui“;</w:t>
      </w:r>
    </w:p>
  </w:footnote>
  <w:footnote w:id="2">
    <w:p w14:paraId="22DB8CED" w14:textId="6EF4CDD4" w:rsidR="00BF0990" w:rsidRPr="008E3BD6" w:rsidRDefault="00BF0990" w:rsidP="008E3BD6">
      <w:pPr>
        <w:pStyle w:val="FootnoteText"/>
        <w:jc w:val="both"/>
        <w:rPr>
          <w:rFonts w:ascii="Times New Roman" w:hAnsi="Times New Roman" w:cs="Times New Roman"/>
        </w:rPr>
      </w:pPr>
      <w:r w:rsidRPr="008E3BD6">
        <w:rPr>
          <w:rStyle w:val="FootnoteReference"/>
          <w:rFonts w:ascii="Times New Roman" w:hAnsi="Times New Roman" w:cs="Times New Roman"/>
        </w:rPr>
        <w:footnoteRef/>
      </w:r>
      <w:r w:rsidRPr="008E3BD6">
        <w:rPr>
          <w:rFonts w:ascii="Times New Roman" w:hAnsi="Times New Roman" w:cs="Times New Roman"/>
        </w:rPr>
        <w:t xml:space="preserve"> Energetikos ministerijos </w:t>
      </w:r>
      <w:r w:rsidR="008E3BD6" w:rsidRPr="008E3BD6">
        <w:rPr>
          <w:rFonts w:ascii="Times New Roman" w:hAnsi="Times New Roman" w:cs="Times New Roman"/>
        </w:rPr>
        <w:t>2022-07-15 raštas Nr. (22.5-24Mr)3-1169 „Dėl pasirengimo užtikrinti paslaugų teikimą vartotojams, naudojant biokurą, esant ekstremaliajai energetikos padėčiai“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F96"/>
    <w:multiLevelType w:val="hybridMultilevel"/>
    <w:tmpl w:val="73723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6709646">
    <w:abstractNumId w:val="1"/>
  </w:num>
  <w:num w:numId="2" w16cid:durableId="2126340776">
    <w:abstractNumId w:val="2"/>
  </w:num>
  <w:num w:numId="3" w16cid:durableId="116334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15086"/>
    <w:rsid w:val="000236F5"/>
    <w:rsid w:val="0002491E"/>
    <w:rsid w:val="00033889"/>
    <w:rsid w:val="00035DF2"/>
    <w:rsid w:val="0005510C"/>
    <w:rsid w:val="00061A02"/>
    <w:rsid w:val="000734E5"/>
    <w:rsid w:val="0008425D"/>
    <w:rsid w:val="000A09A5"/>
    <w:rsid w:val="000A39E0"/>
    <w:rsid w:val="000B0904"/>
    <w:rsid w:val="000D17DF"/>
    <w:rsid w:val="00122853"/>
    <w:rsid w:val="001528B1"/>
    <w:rsid w:val="0018287B"/>
    <w:rsid w:val="001D56C0"/>
    <w:rsid w:val="001E2A47"/>
    <w:rsid w:val="001E3FD9"/>
    <w:rsid w:val="0021705A"/>
    <w:rsid w:val="002201E4"/>
    <w:rsid w:val="002240AB"/>
    <w:rsid w:val="00226EE7"/>
    <w:rsid w:val="00260E6D"/>
    <w:rsid w:val="00277423"/>
    <w:rsid w:val="0029152C"/>
    <w:rsid w:val="002D5842"/>
    <w:rsid w:val="00332FBE"/>
    <w:rsid w:val="00335FD0"/>
    <w:rsid w:val="003400B5"/>
    <w:rsid w:val="003428DA"/>
    <w:rsid w:val="00353250"/>
    <w:rsid w:val="003840F3"/>
    <w:rsid w:val="003B6BDB"/>
    <w:rsid w:val="003B7217"/>
    <w:rsid w:val="00465655"/>
    <w:rsid w:val="00476F50"/>
    <w:rsid w:val="00477229"/>
    <w:rsid w:val="00494B48"/>
    <w:rsid w:val="004C4D63"/>
    <w:rsid w:val="004D5F63"/>
    <w:rsid w:val="00500C82"/>
    <w:rsid w:val="0051627E"/>
    <w:rsid w:val="00545E6F"/>
    <w:rsid w:val="00574E9C"/>
    <w:rsid w:val="0057673E"/>
    <w:rsid w:val="00582792"/>
    <w:rsid w:val="005A234D"/>
    <w:rsid w:val="005C03EC"/>
    <w:rsid w:val="005D0F48"/>
    <w:rsid w:val="006224D4"/>
    <w:rsid w:val="00692207"/>
    <w:rsid w:val="006E3C23"/>
    <w:rsid w:val="00747188"/>
    <w:rsid w:val="007658A1"/>
    <w:rsid w:val="00792361"/>
    <w:rsid w:val="007A62D4"/>
    <w:rsid w:val="00863768"/>
    <w:rsid w:val="00880D91"/>
    <w:rsid w:val="00881151"/>
    <w:rsid w:val="008A2DF2"/>
    <w:rsid w:val="008E3952"/>
    <w:rsid w:val="008E3BD6"/>
    <w:rsid w:val="0092382C"/>
    <w:rsid w:val="0094033D"/>
    <w:rsid w:val="009B07B7"/>
    <w:rsid w:val="009B1ADB"/>
    <w:rsid w:val="00A367BF"/>
    <w:rsid w:val="00A41F79"/>
    <w:rsid w:val="00A5378F"/>
    <w:rsid w:val="00A575B5"/>
    <w:rsid w:val="00AA4291"/>
    <w:rsid w:val="00AD25E1"/>
    <w:rsid w:val="00AF4A4D"/>
    <w:rsid w:val="00B20F05"/>
    <w:rsid w:val="00B40C98"/>
    <w:rsid w:val="00B50825"/>
    <w:rsid w:val="00B65785"/>
    <w:rsid w:val="00BB162C"/>
    <w:rsid w:val="00BF0990"/>
    <w:rsid w:val="00C11654"/>
    <w:rsid w:val="00C16BFB"/>
    <w:rsid w:val="00C612D9"/>
    <w:rsid w:val="00C74048"/>
    <w:rsid w:val="00CA4F2D"/>
    <w:rsid w:val="00CC2FB5"/>
    <w:rsid w:val="00CD4C2E"/>
    <w:rsid w:val="00D56E08"/>
    <w:rsid w:val="00D718B2"/>
    <w:rsid w:val="00D816C1"/>
    <w:rsid w:val="00DD00D1"/>
    <w:rsid w:val="00DF79F0"/>
    <w:rsid w:val="00E85E32"/>
    <w:rsid w:val="00EB218B"/>
    <w:rsid w:val="00EE769F"/>
    <w:rsid w:val="00F45909"/>
    <w:rsid w:val="00F50E73"/>
    <w:rsid w:val="00F5210B"/>
    <w:rsid w:val="00F524CF"/>
    <w:rsid w:val="00F72F4C"/>
    <w:rsid w:val="00FA2D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 w:type="paragraph" w:styleId="FootnoteText">
    <w:name w:val="footnote text"/>
    <w:aliases w:val="Reference,Style 7,Diagrama"/>
    <w:basedOn w:val="Normal"/>
    <w:link w:val="FootnoteTextChar"/>
    <w:uiPriority w:val="99"/>
    <w:unhideWhenUsed/>
    <w:rsid w:val="00BF0990"/>
    <w:pPr>
      <w:spacing w:after="0" w:line="240" w:lineRule="auto"/>
    </w:pPr>
    <w:rPr>
      <w:sz w:val="20"/>
      <w:szCs w:val="20"/>
    </w:rPr>
  </w:style>
  <w:style w:type="character" w:customStyle="1" w:styleId="FootnoteTextChar">
    <w:name w:val="Footnote Text Char"/>
    <w:aliases w:val="Reference Char,Style 7 Char,Diagrama Char"/>
    <w:basedOn w:val="DefaultParagraphFont"/>
    <w:link w:val="FootnoteText"/>
    <w:uiPriority w:val="99"/>
    <w:rsid w:val="00BF0990"/>
    <w:rPr>
      <w:rFonts w:asciiTheme="minorHAnsi" w:hAnsiTheme="minorHAnsi"/>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symbol"/>
    <w:basedOn w:val="DefaultParagraphFont"/>
    <w:uiPriority w:val="99"/>
    <w:semiHidden/>
    <w:unhideWhenUsed/>
    <w:rsid w:val="00BF0990"/>
    <w:rPr>
      <w:vertAlign w:val="superscript"/>
    </w:rPr>
  </w:style>
  <w:style w:type="paragraph" w:styleId="Revision">
    <w:name w:val="Revision"/>
    <w:hidden/>
    <w:uiPriority w:val="99"/>
    <w:semiHidden/>
    <w:rsid w:val="0074718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tas@ls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4473</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cp:lastModifiedBy>
  <cp:revision>2</cp:revision>
  <dcterms:created xsi:type="dcterms:W3CDTF">2022-07-19T06:46:00Z</dcterms:created>
  <dcterms:modified xsi:type="dcterms:W3CDTF">2022-07-19T06:46:00Z</dcterms:modified>
</cp:coreProperties>
</file>