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70" w:type="dxa"/>
          <w:right w:w="0" w:type="dxa"/>
        </w:tblCellMar>
        <w:tblLook w:val="04A0" w:firstRow="1" w:lastRow="0" w:firstColumn="1" w:lastColumn="0" w:noHBand="0" w:noVBand="1"/>
      </w:tblPr>
      <w:tblGrid>
        <w:gridCol w:w="4395"/>
        <w:gridCol w:w="1984"/>
        <w:gridCol w:w="3260"/>
      </w:tblGrid>
      <w:tr w:rsidR="00B145C5" w:rsidRPr="007076C9" w14:paraId="1C94826A" w14:textId="77777777" w:rsidTr="00916C7E">
        <w:tc>
          <w:tcPr>
            <w:tcW w:w="4395" w:type="dxa"/>
          </w:tcPr>
          <w:p w14:paraId="2571E790" w14:textId="77777777" w:rsidR="00B145C5" w:rsidRPr="007076C9" w:rsidRDefault="00B145C5" w:rsidP="00916C7E">
            <w:pPr>
              <w:jc w:val="both"/>
              <w:rPr>
                <w:rFonts w:ascii="Times New Roman" w:hAnsi="Times New Roman" w:cs="Times New Roman"/>
                <w:sz w:val="24"/>
                <w:szCs w:val="24"/>
              </w:rPr>
            </w:pPr>
            <w:r w:rsidRPr="007076C9">
              <w:rPr>
                <w:rFonts w:ascii="Times New Roman" w:hAnsi="Times New Roman" w:cs="Times New Roman"/>
                <w:noProof/>
                <w:sz w:val="24"/>
                <w:szCs w:val="24"/>
              </w:rPr>
              <w:drawing>
                <wp:inline distT="0" distB="0" distL="0" distR="0" wp14:anchorId="23FC27DD" wp14:editId="1B921A83">
                  <wp:extent cx="2237162" cy="666750"/>
                  <wp:effectExtent l="0" t="0" r="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41097" cy="667923"/>
                          </a:xfrm>
                          <a:prstGeom prst="rect">
                            <a:avLst/>
                          </a:prstGeom>
                          <a:noFill/>
                        </pic:spPr>
                      </pic:pic>
                    </a:graphicData>
                  </a:graphic>
                </wp:inline>
              </w:drawing>
            </w:r>
          </w:p>
          <w:p w14:paraId="1DCD509D" w14:textId="77777777" w:rsidR="00B145C5" w:rsidRPr="007076C9" w:rsidRDefault="00B145C5" w:rsidP="00916C7E">
            <w:pPr>
              <w:pStyle w:val="Footer"/>
              <w:spacing w:line="276" w:lineRule="auto"/>
              <w:rPr>
                <w:rFonts w:ascii="Gotham Book" w:hAnsi="Gotham Book" w:cs="Gotham Pro Regular"/>
                <w:color w:val="585858"/>
                <w:sz w:val="16"/>
                <w:szCs w:val="16"/>
              </w:rPr>
            </w:pPr>
          </w:p>
        </w:tc>
        <w:tc>
          <w:tcPr>
            <w:tcW w:w="1984" w:type="dxa"/>
            <w:tcBorders>
              <w:right w:val="single" w:sz="4" w:space="0" w:color="00B050"/>
            </w:tcBorders>
          </w:tcPr>
          <w:p w14:paraId="689A4D95" w14:textId="77777777" w:rsidR="00B145C5" w:rsidRPr="007076C9" w:rsidRDefault="00B145C5" w:rsidP="00916C7E">
            <w:pPr>
              <w:pStyle w:val="Footer"/>
              <w:spacing w:line="276" w:lineRule="auto"/>
              <w:rPr>
                <w:rFonts w:ascii="Gotham Book" w:hAnsi="Gotham Book" w:cs="Gotham Pro Regular"/>
                <w:color w:val="585858"/>
                <w:sz w:val="16"/>
                <w:szCs w:val="16"/>
              </w:rPr>
            </w:pPr>
            <w:r w:rsidRPr="007076C9">
              <w:rPr>
                <w:rFonts w:ascii="Gotham Book" w:hAnsi="Gotham Book" w:cs="Gotham Pro Regular"/>
                <w:color w:val="585858"/>
                <w:sz w:val="16"/>
                <w:szCs w:val="16"/>
              </w:rPr>
              <w:t>V. Gerulai</w:t>
            </w:r>
            <w:r w:rsidRPr="007076C9">
              <w:rPr>
                <w:rFonts w:ascii="Gotham Book" w:eastAsia="Calibri" w:hAnsi="Gotham Book" w:cs="Calibri"/>
                <w:color w:val="585858"/>
                <w:sz w:val="16"/>
                <w:szCs w:val="16"/>
              </w:rPr>
              <w:t>č</w:t>
            </w:r>
            <w:r w:rsidRPr="007076C9">
              <w:rPr>
                <w:rFonts w:ascii="Gotham Book" w:hAnsi="Gotham Book" w:cs="Gotham Pro Regular"/>
                <w:color w:val="585858"/>
                <w:sz w:val="16"/>
                <w:szCs w:val="16"/>
              </w:rPr>
              <w:t>io g. 10</w:t>
            </w:r>
          </w:p>
          <w:p w14:paraId="029F2FF7" w14:textId="77777777" w:rsidR="00B145C5" w:rsidRPr="007076C9" w:rsidRDefault="00B145C5" w:rsidP="00916C7E">
            <w:pPr>
              <w:pStyle w:val="Footer"/>
              <w:spacing w:line="276" w:lineRule="auto"/>
              <w:rPr>
                <w:rFonts w:ascii="Gotham Book" w:hAnsi="Gotham Book" w:cs="Gotham Pro Regular"/>
                <w:color w:val="585858"/>
                <w:sz w:val="16"/>
                <w:szCs w:val="16"/>
              </w:rPr>
            </w:pPr>
            <w:r w:rsidRPr="007076C9">
              <w:rPr>
                <w:rFonts w:ascii="Gotham Book" w:hAnsi="Gotham Book" w:cs="Gotham Pro Regular"/>
                <w:color w:val="585858"/>
                <w:sz w:val="16"/>
                <w:szCs w:val="16"/>
              </w:rPr>
              <w:t>LT-08200 Vilnius</w:t>
            </w:r>
          </w:p>
          <w:p w14:paraId="2FFFBA3F" w14:textId="77777777" w:rsidR="00B145C5" w:rsidRPr="007076C9" w:rsidRDefault="00B145C5" w:rsidP="00916C7E">
            <w:pPr>
              <w:pStyle w:val="Footer"/>
              <w:spacing w:line="276" w:lineRule="auto"/>
              <w:rPr>
                <w:rFonts w:ascii="Gotham Book" w:hAnsi="Gotham Book" w:cs="Gotham Pro Regular"/>
                <w:color w:val="585858"/>
                <w:sz w:val="16"/>
                <w:szCs w:val="16"/>
              </w:rPr>
            </w:pPr>
            <w:r w:rsidRPr="007076C9">
              <w:rPr>
                <w:rFonts w:ascii="Gotham Book" w:hAnsi="Gotham Book" w:cs="Gotham Pro Regular"/>
                <w:color w:val="585858"/>
                <w:sz w:val="16"/>
                <w:szCs w:val="16"/>
              </w:rPr>
              <w:t>Tel. (8-5) 2667025</w:t>
            </w:r>
          </w:p>
          <w:p w14:paraId="0098E07B" w14:textId="77777777" w:rsidR="00B145C5" w:rsidRPr="007076C9" w:rsidRDefault="00B145C5" w:rsidP="00916C7E">
            <w:pPr>
              <w:pStyle w:val="Footer"/>
              <w:spacing w:line="276" w:lineRule="auto"/>
              <w:rPr>
                <w:rFonts w:ascii="Gotham Book" w:hAnsi="Gotham Book" w:cs="Arial"/>
                <w:color w:val="404040" w:themeColor="text1" w:themeTint="BF"/>
                <w:sz w:val="13"/>
                <w:szCs w:val="13"/>
              </w:rPr>
            </w:pPr>
            <w:proofErr w:type="spellStart"/>
            <w:r w:rsidRPr="007076C9">
              <w:rPr>
                <w:rFonts w:ascii="Gotham Book" w:hAnsi="Gotham Book" w:cs="Gotham Pro Regular"/>
                <w:color w:val="585858"/>
                <w:sz w:val="16"/>
                <w:szCs w:val="16"/>
              </w:rPr>
              <w:t>info@lsta.lt</w:t>
            </w:r>
            <w:proofErr w:type="spellEnd"/>
            <w:r w:rsidRPr="007076C9">
              <w:rPr>
                <w:rFonts w:ascii="Gotham Book" w:hAnsi="Gotham Book" w:cs="Gotham Pro Regular"/>
                <w:color w:val="585858"/>
                <w:sz w:val="16"/>
                <w:szCs w:val="16"/>
              </w:rPr>
              <w:t>, www.lsta.lt</w:t>
            </w:r>
          </w:p>
        </w:tc>
        <w:tc>
          <w:tcPr>
            <w:tcW w:w="3260" w:type="dxa"/>
            <w:tcBorders>
              <w:left w:val="single" w:sz="4" w:space="0" w:color="00B050"/>
            </w:tcBorders>
          </w:tcPr>
          <w:p w14:paraId="03E86DC8" w14:textId="77777777" w:rsidR="00B145C5" w:rsidRPr="007076C9" w:rsidRDefault="00B145C5" w:rsidP="00916C7E">
            <w:pPr>
              <w:pStyle w:val="Footer"/>
              <w:rPr>
                <w:rFonts w:ascii="Gotham Book" w:hAnsi="Gotham Book" w:cs="Gotham Pro Regular"/>
                <w:color w:val="585858"/>
                <w:sz w:val="16"/>
                <w:szCs w:val="16"/>
              </w:rPr>
            </w:pPr>
            <w:r w:rsidRPr="007076C9">
              <w:rPr>
                <w:rFonts w:ascii="Gotham Book" w:hAnsi="Gotham Book" w:cs="Gotham Pro Regular"/>
                <w:color w:val="585858"/>
                <w:sz w:val="16"/>
                <w:szCs w:val="16"/>
              </w:rPr>
              <w:t>Juridini</w:t>
            </w:r>
            <w:r w:rsidRPr="007076C9">
              <w:rPr>
                <w:rFonts w:ascii="Gotham Book" w:eastAsia="Calibri" w:hAnsi="Gotham Book" w:cs="Calibri"/>
                <w:color w:val="585858"/>
                <w:sz w:val="16"/>
                <w:szCs w:val="16"/>
              </w:rPr>
              <w:t>ų</w:t>
            </w:r>
            <w:r w:rsidRPr="007076C9">
              <w:rPr>
                <w:rFonts w:ascii="Gotham Book" w:hAnsi="Gotham Book" w:cs="Gotham Pro Regular"/>
                <w:color w:val="585858"/>
                <w:sz w:val="16"/>
                <w:szCs w:val="16"/>
              </w:rPr>
              <w:t xml:space="preserve"> asmen</w:t>
            </w:r>
            <w:r w:rsidRPr="007076C9">
              <w:rPr>
                <w:rFonts w:ascii="Gotham Book" w:eastAsia="Calibri" w:hAnsi="Gotham Book" w:cs="Calibri"/>
                <w:color w:val="585858"/>
                <w:sz w:val="16"/>
                <w:szCs w:val="16"/>
              </w:rPr>
              <w:t>ų</w:t>
            </w:r>
            <w:r w:rsidRPr="007076C9">
              <w:rPr>
                <w:rFonts w:ascii="Gotham Book" w:hAnsi="Gotham Book" w:cs="Gotham Pro Regular"/>
                <w:color w:val="585858"/>
                <w:sz w:val="16"/>
                <w:szCs w:val="16"/>
              </w:rPr>
              <w:t xml:space="preserve"> registras</w:t>
            </w:r>
          </w:p>
          <w:p w14:paraId="06C853BF" w14:textId="77777777" w:rsidR="00B145C5" w:rsidRPr="007076C9" w:rsidRDefault="00B145C5" w:rsidP="00916C7E">
            <w:pPr>
              <w:pStyle w:val="Footer"/>
              <w:rPr>
                <w:rFonts w:ascii="Gotham Book" w:hAnsi="Gotham Book" w:cs="Gotham Pro Regular"/>
                <w:color w:val="585858"/>
                <w:sz w:val="16"/>
                <w:szCs w:val="16"/>
              </w:rPr>
            </w:pPr>
            <w:r w:rsidRPr="007076C9">
              <w:rPr>
                <w:rFonts w:ascii="Gotham Book" w:hAnsi="Gotham Book" w:cs="Gotham Pro Regular"/>
                <w:color w:val="585858"/>
                <w:sz w:val="16"/>
                <w:szCs w:val="16"/>
              </w:rPr>
              <w:t>V</w:t>
            </w:r>
            <w:r w:rsidRPr="007076C9">
              <w:rPr>
                <w:rFonts w:ascii="Gotham Book" w:eastAsia="Calibri" w:hAnsi="Gotham Book" w:cs="Calibri"/>
                <w:color w:val="585858"/>
                <w:sz w:val="16"/>
                <w:szCs w:val="16"/>
              </w:rPr>
              <w:t>Į</w:t>
            </w:r>
            <w:r w:rsidRPr="007076C9">
              <w:rPr>
                <w:rFonts w:ascii="Gotham Book" w:hAnsi="Gotham Book" w:cs="Gotham Pro Regular"/>
                <w:color w:val="585858"/>
                <w:sz w:val="16"/>
                <w:szCs w:val="16"/>
              </w:rPr>
              <w:t xml:space="preserve"> „Registr</w:t>
            </w:r>
            <w:r w:rsidRPr="007076C9">
              <w:rPr>
                <w:rFonts w:ascii="Gotham Book" w:eastAsia="Calibri" w:hAnsi="Gotham Book" w:cs="Calibri"/>
                <w:color w:val="585858"/>
                <w:sz w:val="16"/>
                <w:szCs w:val="16"/>
              </w:rPr>
              <w:t>ų</w:t>
            </w:r>
            <w:r w:rsidRPr="007076C9">
              <w:rPr>
                <w:rFonts w:ascii="Gotham Book" w:hAnsi="Gotham Book" w:cs="Gotham Pro Regular"/>
                <w:color w:val="585858"/>
                <w:sz w:val="16"/>
                <w:szCs w:val="16"/>
              </w:rPr>
              <w:t xml:space="preserve"> centras“ Vilniaus filialas</w:t>
            </w:r>
          </w:p>
          <w:p w14:paraId="4E418D4D" w14:textId="77777777" w:rsidR="00B145C5" w:rsidRPr="007076C9" w:rsidRDefault="00B145C5" w:rsidP="00916C7E">
            <w:pPr>
              <w:pStyle w:val="Footer"/>
              <w:spacing w:line="276" w:lineRule="auto"/>
              <w:rPr>
                <w:rFonts w:ascii="Gotham Book" w:hAnsi="Gotham Book" w:cs="Gotham Pro Regular"/>
                <w:color w:val="585858"/>
                <w:sz w:val="16"/>
                <w:szCs w:val="16"/>
              </w:rPr>
            </w:pPr>
            <w:r w:rsidRPr="007076C9">
              <w:rPr>
                <w:rFonts w:ascii="Gotham Book" w:eastAsia="Calibri" w:hAnsi="Gotham Book" w:cs="Calibri"/>
                <w:color w:val="585858"/>
                <w:sz w:val="16"/>
                <w:szCs w:val="16"/>
              </w:rPr>
              <w:t>Į</w:t>
            </w:r>
            <w:r w:rsidRPr="007076C9">
              <w:rPr>
                <w:rFonts w:ascii="Gotham Book" w:hAnsi="Gotham Book" w:cs="Gotham Pro Regular"/>
                <w:color w:val="585858"/>
                <w:sz w:val="16"/>
                <w:szCs w:val="16"/>
              </w:rPr>
              <w:t>mon</w:t>
            </w:r>
            <w:r w:rsidRPr="007076C9">
              <w:rPr>
                <w:rFonts w:ascii="Gotham Book" w:eastAsia="Calibri" w:hAnsi="Gotham Book" w:cs="Calibri"/>
                <w:color w:val="585858"/>
                <w:sz w:val="16"/>
                <w:szCs w:val="16"/>
              </w:rPr>
              <w:t>ė</w:t>
            </w:r>
            <w:r w:rsidRPr="007076C9">
              <w:rPr>
                <w:rFonts w:ascii="Gotham Book" w:hAnsi="Gotham Book" w:cs="Gotham Pro Regular"/>
                <w:color w:val="585858"/>
                <w:sz w:val="16"/>
                <w:szCs w:val="16"/>
              </w:rPr>
              <w:t xml:space="preserve">s kodas 124361985 </w:t>
            </w:r>
            <w:r w:rsidRPr="007076C9">
              <w:rPr>
                <w:rFonts w:ascii="Gotham Book" w:hAnsi="Gotham Book" w:cs="Gotham Pro Regular"/>
                <w:color w:val="585858"/>
                <w:sz w:val="16"/>
                <w:szCs w:val="16"/>
              </w:rPr>
              <w:br/>
              <w:t>Atsiskaitomoji s</w:t>
            </w:r>
            <w:r w:rsidRPr="007076C9">
              <w:rPr>
                <w:rFonts w:ascii="Gotham Book" w:eastAsia="Calibri" w:hAnsi="Gotham Book" w:cs="Calibri"/>
                <w:color w:val="585858"/>
                <w:sz w:val="16"/>
                <w:szCs w:val="16"/>
              </w:rPr>
              <w:t>ą</w:t>
            </w:r>
            <w:r w:rsidRPr="007076C9">
              <w:rPr>
                <w:rFonts w:ascii="Gotham Book" w:hAnsi="Gotham Book" w:cs="Gotham Pro Regular"/>
                <w:color w:val="585858"/>
                <w:sz w:val="16"/>
                <w:szCs w:val="16"/>
              </w:rPr>
              <w:t xml:space="preserve">skaita </w:t>
            </w:r>
          </w:p>
          <w:p w14:paraId="43D6A569" w14:textId="77777777" w:rsidR="00B145C5" w:rsidRPr="007076C9" w:rsidRDefault="00B145C5" w:rsidP="00916C7E">
            <w:pPr>
              <w:pStyle w:val="Footer"/>
              <w:spacing w:line="276" w:lineRule="auto"/>
              <w:rPr>
                <w:rFonts w:ascii="Gotham Book" w:hAnsi="Gotham Book" w:cs="Gotham Pro Regular"/>
                <w:color w:val="585858"/>
                <w:sz w:val="16"/>
                <w:szCs w:val="16"/>
              </w:rPr>
            </w:pPr>
            <w:r w:rsidRPr="007076C9">
              <w:rPr>
                <w:rFonts w:ascii="Gotham Book" w:hAnsi="Gotham Book" w:cs="Gotham Pro Regular"/>
                <w:color w:val="585858"/>
                <w:sz w:val="16"/>
                <w:szCs w:val="16"/>
              </w:rPr>
              <w:t>LT27 7044 0600 0125 7217 AB SEB bankas</w:t>
            </w:r>
          </w:p>
        </w:tc>
      </w:tr>
    </w:tbl>
    <w:tbl>
      <w:tblPr>
        <w:tblpPr w:leftFromText="180" w:rightFromText="180" w:vertAnchor="text" w:horzAnchor="margin" w:tblpY="339"/>
        <w:tblW w:w="9639" w:type="dxa"/>
        <w:tblLayout w:type="fixed"/>
        <w:tblCellMar>
          <w:left w:w="14" w:type="dxa"/>
          <w:right w:w="14" w:type="dxa"/>
        </w:tblCellMar>
        <w:tblLook w:val="0000" w:firstRow="0" w:lastRow="0" w:firstColumn="0" w:lastColumn="0" w:noHBand="0" w:noVBand="0"/>
      </w:tblPr>
      <w:tblGrid>
        <w:gridCol w:w="5537"/>
        <w:gridCol w:w="283"/>
        <w:gridCol w:w="1418"/>
        <w:gridCol w:w="2401"/>
      </w:tblGrid>
      <w:tr w:rsidR="00B145C5" w:rsidRPr="007076C9" w14:paraId="40FB2D6F" w14:textId="77777777" w:rsidTr="00916C7E">
        <w:trPr>
          <w:cantSplit/>
        </w:trPr>
        <w:tc>
          <w:tcPr>
            <w:tcW w:w="5537" w:type="dxa"/>
            <w:vMerge w:val="restart"/>
          </w:tcPr>
          <w:p w14:paraId="085BEB1C" w14:textId="77777777" w:rsidR="00B145C5" w:rsidRPr="007076C9" w:rsidRDefault="00B145C5" w:rsidP="00916C7E">
            <w:pPr>
              <w:spacing w:after="0" w:line="240" w:lineRule="auto"/>
              <w:jc w:val="both"/>
              <w:rPr>
                <w:rFonts w:ascii="Times New Roman" w:hAnsi="Times New Roman" w:cs="Times New Roman"/>
                <w:b/>
                <w:sz w:val="24"/>
                <w:szCs w:val="24"/>
              </w:rPr>
            </w:pPr>
            <w:r w:rsidRPr="007076C9">
              <w:rPr>
                <w:rFonts w:ascii="Times New Roman" w:hAnsi="Times New Roman" w:cs="Times New Roman"/>
                <w:b/>
                <w:sz w:val="24"/>
                <w:szCs w:val="24"/>
              </w:rPr>
              <w:t>Lietuvos Respublikos energetikos ministerijai</w:t>
            </w:r>
          </w:p>
          <w:p w14:paraId="49575967" w14:textId="77777777" w:rsidR="00B145C5" w:rsidRPr="007076C9" w:rsidRDefault="00B145C5" w:rsidP="00916C7E">
            <w:pPr>
              <w:spacing w:after="0" w:line="240" w:lineRule="auto"/>
              <w:jc w:val="both"/>
              <w:rPr>
                <w:rFonts w:ascii="Times New Roman" w:hAnsi="Times New Roman" w:cs="Times New Roman"/>
                <w:b/>
                <w:sz w:val="24"/>
                <w:szCs w:val="24"/>
              </w:rPr>
            </w:pPr>
          </w:p>
        </w:tc>
        <w:tc>
          <w:tcPr>
            <w:tcW w:w="283" w:type="dxa"/>
          </w:tcPr>
          <w:p w14:paraId="370DA227" w14:textId="77777777" w:rsidR="00B145C5" w:rsidRPr="007076C9" w:rsidRDefault="00B145C5" w:rsidP="00916C7E">
            <w:pPr>
              <w:spacing w:after="0" w:line="240" w:lineRule="auto"/>
              <w:rPr>
                <w:rFonts w:ascii="Times New Roman" w:hAnsi="Times New Roman" w:cs="Times New Roman"/>
                <w:bCs/>
                <w:sz w:val="24"/>
                <w:szCs w:val="24"/>
              </w:rPr>
            </w:pPr>
          </w:p>
        </w:tc>
        <w:tc>
          <w:tcPr>
            <w:tcW w:w="1418" w:type="dxa"/>
          </w:tcPr>
          <w:p w14:paraId="211294ED" w14:textId="0C03CD86" w:rsidR="00B145C5" w:rsidRPr="007076C9" w:rsidRDefault="00B145C5" w:rsidP="00916C7E">
            <w:pPr>
              <w:spacing w:after="0" w:line="240" w:lineRule="auto"/>
              <w:rPr>
                <w:rFonts w:ascii="Times New Roman" w:hAnsi="Times New Roman" w:cs="Times New Roman"/>
                <w:bCs/>
                <w:sz w:val="24"/>
                <w:szCs w:val="24"/>
              </w:rPr>
            </w:pPr>
            <w:r w:rsidRPr="007076C9">
              <w:rPr>
                <w:rFonts w:ascii="Times New Roman" w:hAnsi="Times New Roman" w:cs="Times New Roman"/>
                <w:bCs/>
                <w:sz w:val="24"/>
                <w:szCs w:val="24"/>
              </w:rPr>
              <w:t>2022-0</w:t>
            </w:r>
            <w:r w:rsidR="000606B3">
              <w:rPr>
                <w:rFonts w:ascii="Times New Roman" w:hAnsi="Times New Roman" w:cs="Times New Roman"/>
                <w:bCs/>
                <w:sz w:val="24"/>
                <w:szCs w:val="24"/>
              </w:rPr>
              <w:t>5</w:t>
            </w:r>
            <w:r w:rsidRPr="007076C9">
              <w:rPr>
                <w:rFonts w:ascii="Times New Roman" w:hAnsi="Times New Roman" w:cs="Times New Roman"/>
                <w:bCs/>
                <w:sz w:val="24"/>
                <w:szCs w:val="24"/>
              </w:rPr>
              <w:t>-</w:t>
            </w:r>
            <w:r w:rsidR="00A13EA7">
              <w:rPr>
                <w:rFonts w:ascii="Times New Roman" w:hAnsi="Times New Roman" w:cs="Times New Roman"/>
                <w:bCs/>
                <w:sz w:val="24"/>
                <w:szCs w:val="24"/>
              </w:rPr>
              <w:t>12</w:t>
            </w:r>
          </w:p>
        </w:tc>
        <w:tc>
          <w:tcPr>
            <w:tcW w:w="2401" w:type="dxa"/>
          </w:tcPr>
          <w:p w14:paraId="60E80B02" w14:textId="3AA7F4BC" w:rsidR="00B145C5" w:rsidRPr="007076C9" w:rsidRDefault="00B145C5" w:rsidP="00916C7E">
            <w:pPr>
              <w:spacing w:after="0" w:line="240" w:lineRule="auto"/>
              <w:rPr>
                <w:rFonts w:ascii="Times New Roman" w:hAnsi="Times New Roman" w:cs="Times New Roman"/>
                <w:bCs/>
                <w:sz w:val="24"/>
                <w:szCs w:val="24"/>
              </w:rPr>
            </w:pPr>
            <w:r w:rsidRPr="007076C9">
              <w:rPr>
                <w:rFonts w:ascii="Times New Roman" w:hAnsi="Times New Roman" w:cs="Times New Roman"/>
                <w:bCs/>
                <w:sz w:val="24"/>
                <w:szCs w:val="24"/>
              </w:rPr>
              <w:t xml:space="preserve">Nr. </w:t>
            </w:r>
            <w:r w:rsidR="007E0F91">
              <w:rPr>
                <w:rFonts w:ascii="Times New Roman" w:hAnsi="Times New Roman" w:cs="Times New Roman"/>
                <w:bCs/>
                <w:sz w:val="24"/>
                <w:szCs w:val="24"/>
              </w:rPr>
              <w:t>50</w:t>
            </w:r>
          </w:p>
        </w:tc>
      </w:tr>
      <w:tr w:rsidR="00B145C5" w:rsidRPr="007076C9" w14:paraId="5D807D59" w14:textId="77777777" w:rsidTr="00916C7E">
        <w:trPr>
          <w:cantSplit/>
        </w:trPr>
        <w:tc>
          <w:tcPr>
            <w:tcW w:w="5537" w:type="dxa"/>
            <w:vMerge/>
          </w:tcPr>
          <w:p w14:paraId="7F0ACFC4" w14:textId="77777777" w:rsidR="00B145C5" w:rsidRPr="007076C9" w:rsidRDefault="00B145C5" w:rsidP="00916C7E">
            <w:pPr>
              <w:spacing w:after="0" w:line="240" w:lineRule="auto"/>
              <w:rPr>
                <w:rFonts w:ascii="Times New Roman" w:hAnsi="Times New Roman" w:cs="Times New Roman"/>
                <w:sz w:val="24"/>
                <w:szCs w:val="24"/>
              </w:rPr>
            </w:pPr>
          </w:p>
        </w:tc>
        <w:tc>
          <w:tcPr>
            <w:tcW w:w="283" w:type="dxa"/>
          </w:tcPr>
          <w:p w14:paraId="5CD1873D" w14:textId="77777777" w:rsidR="00B145C5" w:rsidRPr="007076C9" w:rsidRDefault="00B145C5" w:rsidP="00916C7E">
            <w:pPr>
              <w:pStyle w:val="Heading1"/>
              <w:rPr>
                <w:szCs w:val="24"/>
              </w:rPr>
            </w:pPr>
            <w:r w:rsidRPr="007076C9">
              <w:rPr>
                <w:szCs w:val="24"/>
              </w:rPr>
              <w:t>Į</w:t>
            </w:r>
          </w:p>
        </w:tc>
        <w:tc>
          <w:tcPr>
            <w:tcW w:w="1418" w:type="dxa"/>
          </w:tcPr>
          <w:p w14:paraId="6D3E24DF" w14:textId="77777777" w:rsidR="00B145C5" w:rsidRPr="007076C9" w:rsidRDefault="00B145C5" w:rsidP="00916C7E">
            <w:pPr>
              <w:spacing w:after="0" w:line="240" w:lineRule="auto"/>
              <w:rPr>
                <w:rFonts w:ascii="Times New Roman" w:hAnsi="Times New Roman" w:cs="Times New Roman"/>
                <w:sz w:val="24"/>
                <w:szCs w:val="24"/>
              </w:rPr>
            </w:pPr>
          </w:p>
        </w:tc>
        <w:tc>
          <w:tcPr>
            <w:tcW w:w="2401" w:type="dxa"/>
          </w:tcPr>
          <w:p w14:paraId="04196691" w14:textId="77777777" w:rsidR="00B145C5" w:rsidRPr="007076C9" w:rsidRDefault="00B145C5" w:rsidP="00916C7E">
            <w:pPr>
              <w:pStyle w:val="Heading1"/>
              <w:rPr>
                <w:szCs w:val="24"/>
              </w:rPr>
            </w:pPr>
            <w:r w:rsidRPr="007076C9">
              <w:rPr>
                <w:szCs w:val="24"/>
              </w:rPr>
              <w:t xml:space="preserve">Nr. </w:t>
            </w:r>
          </w:p>
        </w:tc>
      </w:tr>
      <w:tr w:rsidR="00B145C5" w:rsidRPr="007076C9" w14:paraId="1861B79E" w14:textId="77777777" w:rsidTr="00916C7E">
        <w:trPr>
          <w:cantSplit/>
          <w:trHeight w:val="302"/>
        </w:trPr>
        <w:tc>
          <w:tcPr>
            <w:tcW w:w="5537" w:type="dxa"/>
          </w:tcPr>
          <w:p w14:paraId="2555B3C6" w14:textId="77777777" w:rsidR="00B145C5" w:rsidRPr="007076C9" w:rsidRDefault="00B145C5" w:rsidP="00916C7E">
            <w:pPr>
              <w:tabs>
                <w:tab w:val="left" w:pos="3513"/>
              </w:tabs>
              <w:spacing w:after="0" w:line="240" w:lineRule="auto"/>
              <w:rPr>
                <w:rFonts w:ascii="Times New Roman" w:hAnsi="Times New Roman" w:cs="Times New Roman"/>
                <w:sz w:val="24"/>
                <w:szCs w:val="24"/>
              </w:rPr>
            </w:pPr>
          </w:p>
        </w:tc>
        <w:tc>
          <w:tcPr>
            <w:tcW w:w="283" w:type="dxa"/>
          </w:tcPr>
          <w:p w14:paraId="63DE70BE" w14:textId="77777777" w:rsidR="00B145C5" w:rsidRPr="007076C9" w:rsidRDefault="00B145C5" w:rsidP="00916C7E">
            <w:pPr>
              <w:spacing w:after="0" w:line="240" w:lineRule="auto"/>
              <w:rPr>
                <w:rFonts w:ascii="Times New Roman" w:hAnsi="Times New Roman" w:cs="Times New Roman"/>
                <w:sz w:val="24"/>
                <w:szCs w:val="24"/>
              </w:rPr>
            </w:pPr>
          </w:p>
        </w:tc>
        <w:tc>
          <w:tcPr>
            <w:tcW w:w="1418" w:type="dxa"/>
          </w:tcPr>
          <w:p w14:paraId="6798239B" w14:textId="77777777" w:rsidR="00B145C5" w:rsidRPr="007076C9" w:rsidRDefault="00B145C5" w:rsidP="00916C7E">
            <w:pPr>
              <w:spacing w:after="0" w:line="240" w:lineRule="auto"/>
              <w:rPr>
                <w:rFonts w:ascii="Times New Roman" w:hAnsi="Times New Roman" w:cs="Times New Roman"/>
                <w:sz w:val="24"/>
                <w:szCs w:val="24"/>
              </w:rPr>
            </w:pPr>
          </w:p>
        </w:tc>
        <w:tc>
          <w:tcPr>
            <w:tcW w:w="2401" w:type="dxa"/>
          </w:tcPr>
          <w:p w14:paraId="529AD171" w14:textId="77777777" w:rsidR="00B145C5" w:rsidRPr="007076C9" w:rsidRDefault="00B145C5" w:rsidP="00916C7E">
            <w:pPr>
              <w:spacing w:after="0" w:line="240" w:lineRule="auto"/>
              <w:rPr>
                <w:rFonts w:ascii="Times New Roman" w:hAnsi="Times New Roman" w:cs="Times New Roman"/>
                <w:sz w:val="24"/>
                <w:szCs w:val="24"/>
              </w:rPr>
            </w:pPr>
          </w:p>
        </w:tc>
      </w:tr>
      <w:tr w:rsidR="00B145C5" w:rsidRPr="007076C9" w14:paraId="2F453460" w14:textId="77777777" w:rsidTr="00916C7E">
        <w:trPr>
          <w:cantSplit/>
        </w:trPr>
        <w:tc>
          <w:tcPr>
            <w:tcW w:w="9639" w:type="dxa"/>
            <w:gridSpan w:val="4"/>
          </w:tcPr>
          <w:p w14:paraId="77CDDA86" w14:textId="77777777" w:rsidR="00B145C5" w:rsidRPr="007076C9" w:rsidRDefault="00B145C5" w:rsidP="00916C7E">
            <w:pPr>
              <w:spacing w:after="0" w:line="240" w:lineRule="auto"/>
              <w:jc w:val="both"/>
              <w:rPr>
                <w:rFonts w:ascii="Times New Roman" w:hAnsi="Times New Roman" w:cs="Times New Roman"/>
                <w:b/>
                <w:bCs/>
                <w:caps/>
                <w:sz w:val="24"/>
                <w:szCs w:val="24"/>
              </w:rPr>
            </w:pPr>
            <w:bookmarkStart w:id="0" w:name="_Hlk100759410"/>
            <w:r w:rsidRPr="007076C9">
              <w:rPr>
                <w:rFonts w:ascii="Times New Roman" w:hAnsi="Times New Roman" w:cs="Times New Roman"/>
                <w:b/>
                <w:bCs/>
                <w:caps/>
                <w:sz w:val="24"/>
                <w:szCs w:val="24"/>
              </w:rPr>
              <w:t>DĖL ŠILUMOS ŪKIO ĮSTATYMO NR. IX-1565 1, 2, 12, 17, 20, 22, 28, 29, 30, 32 STRAIPSNIŲ PAKEITIMO IR ĮSTATYMO PAPILDYMO PRIEDU ĮSTATYMO ĮGYVENDINIMO PRAKTIKOS</w:t>
            </w:r>
            <w:bookmarkEnd w:id="0"/>
          </w:p>
        </w:tc>
      </w:tr>
    </w:tbl>
    <w:p w14:paraId="0CF71DB8" w14:textId="77777777" w:rsidR="00B145C5" w:rsidRPr="007076C9" w:rsidRDefault="00B145C5" w:rsidP="00B145C5">
      <w:pPr>
        <w:spacing w:line="240" w:lineRule="auto"/>
        <w:jc w:val="both"/>
        <w:rPr>
          <w:rFonts w:ascii="Times New Roman" w:hAnsi="Times New Roman" w:cs="Times New Roman"/>
          <w:sz w:val="24"/>
          <w:szCs w:val="24"/>
        </w:rPr>
      </w:pPr>
    </w:p>
    <w:p w14:paraId="7F3BE352" w14:textId="77777777" w:rsidR="00B145C5" w:rsidRPr="007076C9" w:rsidRDefault="00B145C5" w:rsidP="00B145C5">
      <w:pPr>
        <w:spacing w:after="0" w:line="240" w:lineRule="auto"/>
        <w:jc w:val="both"/>
        <w:rPr>
          <w:rFonts w:ascii="Times New Roman" w:hAnsi="Times New Roman" w:cs="Times New Roman"/>
          <w:sz w:val="24"/>
          <w:szCs w:val="24"/>
        </w:rPr>
      </w:pPr>
      <w:r w:rsidRPr="007076C9">
        <w:rPr>
          <w:rFonts w:ascii="Times New Roman" w:hAnsi="Times New Roman" w:cs="Times New Roman"/>
          <w:sz w:val="24"/>
          <w:szCs w:val="24"/>
        </w:rPr>
        <w:tab/>
      </w:r>
    </w:p>
    <w:p w14:paraId="4839BC59" w14:textId="2CAB2ABA" w:rsidR="00210763" w:rsidRPr="007076C9" w:rsidRDefault="00A13EA7" w:rsidP="00A13EA7">
      <w:pPr>
        <w:spacing w:after="0" w:line="360" w:lineRule="auto"/>
        <w:jc w:val="both"/>
        <w:rPr>
          <w:rFonts w:ascii="Times New Roman" w:hAnsi="Times New Roman"/>
          <w:sz w:val="24"/>
        </w:rPr>
      </w:pPr>
      <w:r>
        <w:rPr>
          <w:rFonts w:ascii="Times New Roman" w:hAnsi="Times New Roman"/>
          <w:noProof/>
          <w:sz w:val="24"/>
        </w:rPr>
        <mc:AlternateContent>
          <mc:Choice Requires="wpi">
            <w:drawing>
              <wp:anchor distT="0" distB="0" distL="114300" distR="114300" simplePos="0" relativeHeight="251659264" behindDoc="0" locked="0" layoutInCell="1" allowOverlap="1" wp14:anchorId="7A6EE145" wp14:editId="49DFE108">
                <wp:simplePos x="0" y="0"/>
                <wp:positionH relativeFrom="column">
                  <wp:posOffset>4094629</wp:posOffset>
                </wp:positionH>
                <wp:positionV relativeFrom="paragraph">
                  <wp:posOffset>13427</wp:posOffset>
                </wp:positionV>
                <wp:extent cx="360" cy="360"/>
                <wp:effectExtent l="38100" t="38100" r="57150" b="57150"/>
                <wp:wrapNone/>
                <wp:docPr id="19" name="Ink 19"/>
                <wp:cNvGraphicFramePr/>
                <a:graphic xmlns:a="http://schemas.openxmlformats.org/drawingml/2006/main">
                  <a:graphicData uri="http://schemas.microsoft.com/office/word/2010/wordprocessingInk">
                    <w14:contentPart bwMode="auto" r:id="rId7">
                      <w14:nvContentPartPr>
                        <w14:cNvContentPartPr/>
                      </w14:nvContentPartPr>
                      <w14:xfrm>
                        <a:off x="0" y="0"/>
                        <a:ext cx="360" cy="360"/>
                      </w14:xfrm>
                    </w14:contentPart>
                  </a:graphicData>
                </a:graphic>
              </wp:anchor>
            </w:drawing>
          </mc:Choice>
          <mc:Fallback>
            <w:pict>
              <v:shapetype w14:anchorId="41B5C64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9" o:spid="_x0000_s1026" type="#_x0000_t75" style="position:absolute;margin-left:321.7pt;margin-top:.35pt;width:1.45pt;height:1.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">
                <v:imagedata r:id="rId8" o:title=""/>
              </v:shape>
            </w:pict>
          </mc:Fallback>
        </mc:AlternateContent>
      </w:r>
      <w:r w:rsidR="00B145C5" w:rsidRPr="007076C9">
        <w:rPr>
          <w:rFonts w:ascii="Times New Roman" w:hAnsi="Times New Roman"/>
          <w:sz w:val="24"/>
        </w:rPr>
        <w:tab/>
        <w:t>Lietuvos Respublikos Seimas 2022 m. kovo 24 d. priėmė Šilumos ūkio įstatymo Nr. IX-1565 1, 2, 12, 17, 20, 22, 28, 29, 30, 32 straipsnių pakeitimo ir įstatymo papildymo priedu įstatymą (toliau – Įstatymo pataisos), kuris įsigalios š. m. birželio 1 d. Iki to laiko Vyriausybė, jos įgaliotos institucijos, Valstybinė energetikos reguliavimo taryba</w:t>
      </w:r>
      <w:r w:rsidR="00F145ED" w:rsidRPr="007076C9">
        <w:rPr>
          <w:rFonts w:ascii="Times New Roman" w:hAnsi="Times New Roman"/>
          <w:sz w:val="24"/>
        </w:rPr>
        <w:t xml:space="preserve"> (toliau – Taryba)</w:t>
      </w:r>
      <w:r w:rsidR="00B145C5" w:rsidRPr="007076C9">
        <w:rPr>
          <w:rFonts w:ascii="Times New Roman" w:hAnsi="Times New Roman"/>
          <w:sz w:val="24"/>
        </w:rPr>
        <w:t xml:space="preserve"> ir sveikatos apsaugos ministras turi priimti įgyvendinamuosius teisės aktus. Kadangi įgyvendinamieji teisės aktai turi būti priimti 2022 m. gegužės 31 d., vadovaujantis Įstatymo pataisų 12 str. 2 dalimi, todėl šilumos tiekėjams nėra numatyta jokio pereinamojo pasirengiamojo laikotarpio. Kai kurios Įstatymo pataisų nuostatos reikalauja pasiruošimo, galimai naujų sutarčių sudarymo, šildymo sąskaitų/mokėjimo pranešimų formos korekcijų, IT sistemų perprogramavimo ir pan. Todėl pataisų iniciatoriaus ir autoriaus – Energetikos ministerijos prašome patikslinti ir pasisakyti žemiau pateiktais klausimais, kad būtų galima jau dabar ruoštis reglamentuotiems pokyčiams.</w:t>
      </w:r>
    </w:p>
    <w:p w14:paraId="2F784F24" w14:textId="77777777" w:rsidR="00B145C5" w:rsidRPr="007076C9" w:rsidRDefault="00B145C5" w:rsidP="00A13EA7">
      <w:pPr>
        <w:spacing w:after="0" w:line="360" w:lineRule="auto"/>
        <w:jc w:val="both"/>
        <w:rPr>
          <w:rFonts w:ascii="Times New Roman" w:hAnsi="Times New Roman" w:cs="Times New Roman"/>
          <w:sz w:val="24"/>
          <w:szCs w:val="24"/>
        </w:rPr>
      </w:pPr>
      <w:r w:rsidRPr="007076C9">
        <w:rPr>
          <w:rFonts w:ascii="Times New Roman" w:hAnsi="Times New Roman"/>
          <w:sz w:val="24"/>
        </w:rPr>
        <w:tab/>
      </w:r>
      <w:r w:rsidRPr="007076C9">
        <w:rPr>
          <w:rFonts w:ascii="Times New Roman" w:hAnsi="Times New Roman"/>
          <w:b/>
          <w:bCs/>
          <w:sz w:val="24"/>
        </w:rPr>
        <w:t>1.</w:t>
      </w:r>
      <w:r w:rsidRPr="007076C9">
        <w:rPr>
          <w:rFonts w:ascii="Times New Roman" w:hAnsi="Times New Roman"/>
          <w:sz w:val="24"/>
        </w:rPr>
        <w:t xml:space="preserve"> Pataisų 3 straipsnyje reglamentuojama, kad „</w:t>
      </w:r>
      <w:r w:rsidRPr="007076C9">
        <w:rPr>
          <w:rFonts w:ascii="Times New Roman" w:hAnsi="Times New Roman"/>
          <w:i/>
          <w:iCs/>
          <w:sz w:val="24"/>
        </w:rPr>
        <w:t>šilumos vartotojui išrašomoje sąskaitoje (mokėjimo pranešime) turi būti atskirai nurodytos darbų, medžiagų, atsarginių dalių ir įrenginių kainos, pagrįstos administracinės sąnaudos, šilumos vartotojui privalomos mokėti sumos, taip pat pateikta informacija apie galimybę daugiabučio namo butų ir kitų patalpų savininkams įgyti bendrosios dalinės nuosavybės teisę į šilumos punktą &lt;...&gt;</w:t>
      </w:r>
      <w:r w:rsidRPr="007076C9">
        <w:rPr>
          <w:rFonts w:ascii="Times New Roman" w:hAnsi="Times New Roman"/>
          <w:sz w:val="24"/>
        </w:rPr>
        <w:t>“. O 5 str. 1 dalyje numatyta, kad „</w:t>
      </w:r>
      <w:r w:rsidRPr="007076C9">
        <w:rPr>
          <w:rFonts w:ascii="Times New Roman" w:hAnsi="Times New Roman"/>
          <w:i/>
          <w:iCs/>
          <w:sz w:val="24"/>
        </w:rPr>
        <w:t>šilumos ir (ar) karšto vandens tiekėjai ar tretieji asmenys turi organizuoti ir (ar) atlikti jiems nuosavybės teise priklausančių šilumos punktų įrenginių remonto darbus &lt;...&gt;</w:t>
      </w:r>
      <w:r w:rsidRPr="007076C9">
        <w:rPr>
          <w:rFonts w:ascii="Times New Roman" w:hAnsi="Times New Roman"/>
          <w:sz w:val="24"/>
        </w:rPr>
        <w:t>“.</w:t>
      </w:r>
    </w:p>
    <w:p w14:paraId="2BD9980F" w14:textId="42DD7496" w:rsidR="00B145C5" w:rsidRDefault="00B145C5" w:rsidP="00A13EA7">
      <w:pPr>
        <w:spacing w:after="0" w:line="360" w:lineRule="auto"/>
        <w:jc w:val="both"/>
        <w:rPr>
          <w:rFonts w:ascii="Times New Roman" w:hAnsi="Times New Roman"/>
          <w:sz w:val="24"/>
        </w:rPr>
      </w:pPr>
      <w:r w:rsidRPr="007076C9">
        <w:rPr>
          <w:rFonts w:ascii="Times New Roman" w:hAnsi="Times New Roman"/>
          <w:sz w:val="24"/>
        </w:rPr>
        <w:tab/>
        <w:t>Prašome nurodyti, ar visa informacija apie šilumos punkte atliktus darbus, medžiagas, atsargines dalis ir kainas turės būti pateikta toje pačioje sąskaitoje / mokėjimo pranešime, kaip ir informacija apie mokėjimus už šildymą ir karštą vandenį? T. y. ar bus keičiama mokėjimo pranešimo forma, reglamentuota Šilumos tiekimo ir vartojimo taisyklių,  patvirtintų energetikos ministro 2010 m. spalio 25 d. įsakymu Nr. 1-297, 6-ame priede?</w:t>
      </w:r>
    </w:p>
    <w:p w14:paraId="44CE67B2" w14:textId="235D48DF" w:rsidR="005E008A" w:rsidRDefault="005E008A" w:rsidP="00A13EA7">
      <w:pPr>
        <w:spacing w:after="0" w:line="360" w:lineRule="auto"/>
        <w:jc w:val="both"/>
        <w:rPr>
          <w:rFonts w:ascii="Times New Roman" w:hAnsi="Times New Roman"/>
          <w:sz w:val="24"/>
        </w:rPr>
      </w:pPr>
      <w:r>
        <w:rPr>
          <w:rFonts w:ascii="Times New Roman" w:hAnsi="Times New Roman"/>
          <w:sz w:val="24"/>
        </w:rPr>
        <w:tab/>
        <w:t xml:space="preserve">Pataisų 5 straipsnyje reglamentuojama, kad </w:t>
      </w:r>
      <w:r w:rsidRPr="005E008A">
        <w:rPr>
          <w:rFonts w:ascii="Times New Roman" w:hAnsi="Times New Roman"/>
          <w:i/>
          <w:iCs/>
          <w:sz w:val="24"/>
        </w:rPr>
        <w:t xml:space="preserve">Šilumos ir (ar) karšto vandens tiekėjai ar tretieji asmenys turi </w:t>
      </w:r>
      <w:r w:rsidRPr="005E008A">
        <w:rPr>
          <w:rFonts w:ascii="Times New Roman" w:hAnsi="Times New Roman"/>
          <w:i/>
          <w:iCs/>
          <w:sz w:val="24"/>
          <w:u w:val="single"/>
        </w:rPr>
        <w:t>organizuoti ir (ar) atlikti</w:t>
      </w:r>
      <w:r w:rsidRPr="005E008A">
        <w:rPr>
          <w:rFonts w:ascii="Times New Roman" w:hAnsi="Times New Roman"/>
          <w:i/>
          <w:iCs/>
          <w:sz w:val="24"/>
        </w:rPr>
        <w:t xml:space="preserve"> jiems nuosavybės teise priklausančių šilumos punktų įrenginių remonto darbus, už kuriuos nėra atsakingas pastato šildymo ir karšto vandens sistemų prižiūrėtojas (eksploatuotojas) ir kurie nėra įtraukti į šildymo ir karšto vandens sistemos priežiūros </w:t>
      </w:r>
      <w:r w:rsidRPr="005E008A">
        <w:rPr>
          <w:rFonts w:ascii="Times New Roman" w:hAnsi="Times New Roman"/>
          <w:i/>
          <w:iCs/>
          <w:sz w:val="24"/>
        </w:rPr>
        <w:lastRenderedPageBreak/>
        <w:t>(eksploatavimo) tarifą</w:t>
      </w:r>
      <w:r>
        <w:rPr>
          <w:rFonts w:ascii="Times New Roman" w:hAnsi="Times New Roman"/>
          <w:sz w:val="24"/>
        </w:rPr>
        <w:t>. Kaip suprantame, šilumos punkto savininkui suteikiama pareiga ne tik organizuoti šilumos punkto remonto darbus, bet ir juos atlikti. Pavyzdžiui, P</w:t>
      </w:r>
      <w:r w:rsidRPr="005E008A">
        <w:rPr>
          <w:rFonts w:ascii="Times New Roman" w:hAnsi="Times New Roman"/>
          <w:sz w:val="24"/>
        </w:rPr>
        <w:t>astato šildymo ir karšto vandens sistemos priežiūros tvarkos apraš</w:t>
      </w:r>
      <w:r>
        <w:rPr>
          <w:rFonts w:ascii="Times New Roman" w:hAnsi="Times New Roman"/>
          <w:sz w:val="24"/>
        </w:rPr>
        <w:t xml:space="preserve">e, patvirtintame energetikos ministro </w:t>
      </w:r>
      <w:r w:rsidRPr="005E008A">
        <w:rPr>
          <w:rFonts w:ascii="Times New Roman" w:hAnsi="Times New Roman"/>
          <w:sz w:val="24"/>
        </w:rPr>
        <w:t xml:space="preserve">2009 m. lapkričio 26 d. </w:t>
      </w:r>
      <w:r>
        <w:rPr>
          <w:rFonts w:ascii="Times New Roman" w:hAnsi="Times New Roman"/>
          <w:sz w:val="24"/>
        </w:rPr>
        <w:t xml:space="preserve">įsakymu </w:t>
      </w:r>
      <w:r w:rsidRPr="005E008A">
        <w:rPr>
          <w:rFonts w:ascii="Times New Roman" w:hAnsi="Times New Roman"/>
          <w:sz w:val="24"/>
        </w:rPr>
        <w:t>Nr. 1-229</w:t>
      </w:r>
      <w:r w:rsidR="00AA278C">
        <w:rPr>
          <w:rFonts w:ascii="Times New Roman" w:hAnsi="Times New Roman"/>
          <w:sz w:val="24"/>
        </w:rPr>
        <w:t xml:space="preserve"> (toliau – Aprašas)</w:t>
      </w:r>
      <w:r>
        <w:rPr>
          <w:rFonts w:ascii="Times New Roman" w:hAnsi="Times New Roman"/>
          <w:sz w:val="24"/>
        </w:rPr>
        <w:t xml:space="preserve">, </w:t>
      </w:r>
      <w:r w:rsidR="00A657E5">
        <w:rPr>
          <w:rFonts w:ascii="Times New Roman" w:hAnsi="Times New Roman"/>
          <w:sz w:val="24"/>
        </w:rPr>
        <w:t>tarp š</w:t>
      </w:r>
      <w:r w:rsidR="00A657E5" w:rsidRPr="00A657E5">
        <w:rPr>
          <w:rFonts w:ascii="Times New Roman" w:hAnsi="Times New Roman"/>
          <w:sz w:val="24"/>
        </w:rPr>
        <w:t>ildymo ir karšto vandens sistemos komponentuose privalomų atlikti priežiūros (eksploatavimo) darbų techninių veiksmų</w:t>
      </w:r>
      <w:r w:rsidR="00A657E5">
        <w:rPr>
          <w:rFonts w:ascii="Times New Roman" w:hAnsi="Times New Roman"/>
          <w:sz w:val="24"/>
        </w:rPr>
        <w:t xml:space="preserve"> yra ir remontas, kurio atsakomybė visais atvejai yra vidaus šildymo ir karšto vandens sistemų prižiūrėtojo. Manytina, kad šis ir/ar kiti poįstatyminiai teisės aktai privalo būti suderinti su Įstatymo pataisomis, leidžiančiomis ne tik prižiūrėtojui atlikti tam tikrus šilumos punkto remonto darbus. </w:t>
      </w:r>
    </w:p>
    <w:p w14:paraId="6D87504B" w14:textId="2C78ADAA" w:rsidR="00210763" w:rsidRPr="007076C9" w:rsidRDefault="00AA278C" w:rsidP="00A13EA7">
      <w:pPr>
        <w:spacing w:after="0" w:line="360" w:lineRule="auto"/>
        <w:jc w:val="both"/>
        <w:rPr>
          <w:rFonts w:ascii="Times New Roman" w:hAnsi="Times New Roman"/>
          <w:sz w:val="24"/>
        </w:rPr>
      </w:pPr>
      <w:r>
        <w:rPr>
          <w:rFonts w:ascii="Times New Roman" w:hAnsi="Times New Roman"/>
          <w:sz w:val="24"/>
        </w:rPr>
        <w:tab/>
        <w:t xml:space="preserve">Dar pastabėtina, kad Aprašo 25 dalyje reglamentuota, jog </w:t>
      </w:r>
      <w:r w:rsidRPr="00AA278C">
        <w:rPr>
          <w:rFonts w:ascii="Times New Roman" w:hAnsi="Times New Roman"/>
          <w:i/>
          <w:iCs/>
          <w:sz w:val="24"/>
        </w:rPr>
        <w:t>prižiūrėtojo atsakomybė ir atliekamų darbų mastas nustatomas pastato šildymo ir karšto vandens sistemos priežiūros (eksploatavimo) sutartyje ir (ar) šilumos pristatymo buitiniams šilumos vartotojams sutartyje bei karšto vandens pristatymo buitiniams vartotojams sutartyje</w:t>
      </w:r>
      <w:r w:rsidRPr="00AA278C">
        <w:rPr>
          <w:rFonts w:ascii="Times New Roman" w:hAnsi="Times New Roman"/>
          <w:sz w:val="24"/>
        </w:rPr>
        <w:t>.</w:t>
      </w:r>
      <w:r>
        <w:rPr>
          <w:rFonts w:ascii="Times New Roman" w:hAnsi="Times New Roman"/>
          <w:sz w:val="24"/>
        </w:rPr>
        <w:t xml:space="preserve"> Siūlome, kad </w:t>
      </w:r>
      <w:r w:rsidRPr="00AA278C">
        <w:rPr>
          <w:rFonts w:ascii="Times New Roman" w:hAnsi="Times New Roman"/>
          <w:i/>
          <w:iCs/>
          <w:sz w:val="24"/>
        </w:rPr>
        <w:t>šilumos pristatymo buitiniams šilumos vartotojams sutartyje bei karšto vandens pristatymo buitiniams vartotojams sutartyje</w:t>
      </w:r>
      <w:r>
        <w:rPr>
          <w:rFonts w:ascii="Times New Roman" w:hAnsi="Times New Roman"/>
          <w:i/>
          <w:iCs/>
          <w:sz w:val="24"/>
        </w:rPr>
        <w:t xml:space="preserve"> </w:t>
      </w:r>
      <w:r>
        <w:rPr>
          <w:rFonts w:ascii="Times New Roman" w:hAnsi="Times New Roman"/>
          <w:sz w:val="24"/>
        </w:rPr>
        <w:t xml:space="preserve">būtų aprašyta ne tik prižiūrėtojo darbų mastas, bet ir šilumos punkto savininko, kai jis nepriklauso bendrosios dalinės nuosavybės teise to punkto naudotojams, darbų mastas, už kuriuos gyventojai privalės jam susimokėti atskira sąskaita. </w:t>
      </w:r>
    </w:p>
    <w:p w14:paraId="55AB3424" w14:textId="65798DE2" w:rsidR="00B145C5" w:rsidRPr="007076C9" w:rsidRDefault="00B145C5" w:rsidP="00A13EA7">
      <w:pPr>
        <w:spacing w:after="0" w:line="360" w:lineRule="auto"/>
        <w:jc w:val="both"/>
        <w:rPr>
          <w:rFonts w:ascii="Times New Roman" w:hAnsi="Times New Roman"/>
          <w:sz w:val="24"/>
        </w:rPr>
      </w:pPr>
      <w:r w:rsidRPr="007076C9">
        <w:rPr>
          <w:rFonts w:ascii="Times New Roman" w:hAnsi="Times New Roman"/>
          <w:sz w:val="24"/>
        </w:rPr>
        <w:tab/>
      </w:r>
      <w:r w:rsidRPr="007076C9">
        <w:rPr>
          <w:rFonts w:ascii="Times New Roman" w:hAnsi="Times New Roman"/>
          <w:b/>
          <w:bCs/>
          <w:sz w:val="24"/>
        </w:rPr>
        <w:t>2.</w:t>
      </w:r>
      <w:r w:rsidRPr="007076C9">
        <w:rPr>
          <w:rFonts w:ascii="Times New Roman" w:hAnsi="Times New Roman"/>
          <w:sz w:val="24"/>
        </w:rPr>
        <w:t xml:space="preserve"> Įstatymo pataisų 6 straipsnyje numatyta, kad „</w:t>
      </w:r>
      <w:r w:rsidRPr="007076C9">
        <w:rPr>
          <w:rFonts w:ascii="Times New Roman" w:hAnsi="Times New Roman"/>
          <w:i/>
          <w:iCs/>
          <w:sz w:val="24"/>
        </w:rPr>
        <w:t>informacija apie šilumos tiekimo sistemos energinį naudingumą ir atsinaujinančių išteklių energijos procentinę dalį šilumos tiekimo sistemose vieną kartą per metus (už praėjusius kalendorinius metus) turi būti viešai skelbiama šilumos tiekėjų interneto svetainėje, taip pat, jeigu šilumos vartotojai pageidauja, papildomai nurodoma vartotojams išrašomose sąskaitose (mokėjimo pranešimuose).</w:t>
      </w:r>
      <w:r w:rsidRPr="007076C9">
        <w:rPr>
          <w:rFonts w:ascii="Times New Roman" w:hAnsi="Times New Roman"/>
          <w:sz w:val="24"/>
        </w:rPr>
        <w:t>“</w:t>
      </w:r>
    </w:p>
    <w:p w14:paraId="034514D6" w14:textId="4A00BEC6" w:rsidR="00B145C5" w:rsidRPr="007076C9" w:rsidRDefault="00B145C5" w:rsidP="00A13EA7">
      <w:pPr>
        <w:spacing w:after="0" w:line="360" w:lineRule="auto"/>
        <w:jc w:val="both"/>
        <w:rPr>
          <w:rFonts w:ascii="Times New Roman" w:hAnsi="Times New Roman"/>
          <w:sz w:val="24"/>
        </w:rPr>
      </w:pPr>
      <w:r w:rsidRPr="007076C9">
        <w:rPr>
          <w:rFonts w:ascii="Times New Roman" w:hAnsi="Times New Roman"/>
          <w:sz w:val="24"/>
        </w:rPr>
        <w:tab/>
        <w:t>Pirmiausia</w:t>
      </w:r>
      <w:r w:rsidR="00840A34" w:rsidRPr="007076C9">
        <w:rPr>
          <w:rFonts w:ascii="Times New Roman" w:hAnsi="Times New Roman"/>
          <w:sz w:val="24"/>
        </w:rPr>
        <w:t>,</w:t>
      </w:r>
      <w:r w:rsidRPr="007076C9">
        <w:rPr>
          <w:rFonts w:ascii="Times New Roman" w:hAnsi="Times New Roman"/>
          <w:sz w:val="24"/>
        </w:rPr>
        <w:t xml:space="preserve"> </w:t>
      </w:r>
      <w:r w:rsidR="00840A34" w:rsidRPr="007076C9">
        <w:rPr>
          <w:rFonts w:ascii="Times New Roman" w:hAnsi="Times New Roman"/>
          <w:sz w:val="24"/>
        </w:rPr>
        <w:t xml:space="preserve">Lietuvos teisinėje bazėje </w:t>
      </w:r>
      <w:r w:rsidRPr="007076C9">
        <w:rPr>
          <w:rFonts w:ascii="Times New Roman" w:hAnsi="Times New Roman"/>
          <w:sz w:val="24"/>
        </w:rPr>
        <w:t xml:space="preserve"> nėra reglamentuota, kas yra šilumos tiekimo sistemos energinis naudingumas, todėl</w:t>
      </w:r>
      <w:r w:rsidR="0097684F" w:rsidRPr="007076C9">
        <w:rPr>
          <w:rFonts w:ascii="Times New Roman" w:hAnsi="Times New Roman"/>
          <w:sz w:val="24"/>
        </w:rPr>
        <w:t>, greičiausiai,</w:t>
      </w:r>
      <w:r w:rsidRPr="007076C9">
        <w:rPr>
          <w:rFonts w:ascii="Times New Roman" w:hAnsi="Times New Roman"/>
          <w:sz w:val="24"/>
        </w:rPr>
        <w:t xml:space="preserve"> tikslinga žiūrėti direktyvų nuostatas. Pavyzdžiui, 2018 m. gruodžio 11 d. </w:t>
      </w:r>
      <w:r w:rsidR="0097684F" w:rsidRPr="007076C9">
        <w:rPr>
          <w:rFonts w:ascii="Times New Roman" w:hAnsi="Times New Roman"/>
          <w:sz w:val="24"/>
        </w:rPr>
        <w:t>D</w:t>
      </w:r>
      <w:r w:rsidRPr="007076C9">
        <w:rPr>
          <w:rFonts w:ascii="Times New Roman" w:hAnsi="Times New Roman"/>
          <w:sz w:val="24"/>
        </w:rPr>
        <w:t>irektyva dėl skatinimo naudoti atsinaujinančiųjų išteklių energiją reglamentuoja:</w:t>
      </w:r>
    </w:p>
    <w:p w14:paraId="1035ADBF" w14:textId="36F742C6" w:rsidR="00B145C5" w:rsidRDefault="00B145C5" w:rsidP="00A13EA7">
      <w:pPr>
        <w:spacing w:after="0" w:line="360" w:lineRule="auto"/>
        <w:jc w:val="both"/>
        <w:rPr>
          <w:rFonts w:ascii="Times New Roman" w:hAnsi="Times New Roman" w:cs="Times New Roman"/>
          <w:sz w:val="24"/>
          <w:szCs w:val="24"/>
        </w:rPr>
      </w:pPr>
      <w:r w:rsidRPr="007076C9">
        <w:rPr>
          <w:rFonts w:ascii="Times New Roman" w:hAnsi="Times New Roman" w:cs="Times New Roman"/>
          <w:i/>
          <w:iCs/>
          <w:sz w:val="24"/>
          <w:szCs w:val="24"/>
        </w:rPr>
        <w:t>„(28) vartotojams turėtų būti suteikta išsami informacija, įskaitant informaciją apie šilumos ar vėsumos tiekimo sistemų energinį naudingumą &lt;...&gt;, kad jie galėtų individualiai pasirinkti atsinaujinančiųjų išteklių energiją ir nebūtų susaistyti technologiniu požiūriu</w:t>
      </w:r>
      <w:r w:rsidRPr="007076C9">
        <w:rPr>
          <w:rFonts w:ascii="Times New Roman" w:hAnsi="Times New Roman" w:cs="Times New Roman"/>
          <w:sz w:val="24"/>
          <w:szCs w:val="24"/>
        </w:rPr>
        <w:t>;“</w:t>
      </w:r>
    </w:p>
    <w:p w14:paraId="46C969AA" w14:textId="0A45750D" w:rsidR="00013E82" w:rsidRDefault="00013E82" w:rsidP="00A13EA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013E82">
        <w:rPr>
          <w:rFonts w:ascii="Times New Roman" w:hAnsi="Times New Roman" w:cs="Times New Roman"/>
          <w:sz w:val="24"/>
          <w:szCs w:val="24"/>
        </w:rPr>
        <w:t>2012 m. spalio 25 d.</w:t>
      </w:r>
      <w:r>
        <w:rPr>
          <w:rFonts w:ascii="Times New Roman" w:hAnsi="Times New Roman" w:cs="Times New Roman"/>
          <w:sz w:val="24"/>
          <w:szCs w:val="24"/>
        </w:rPr>
        <w:t xml:space="preserve"> Direktyva </w:t>
      </w:r>
      <w:r w:rsidRPr="00013E82">
        <w:rPr>
          <w:rFonts w:ascii="Times New Roman" w:hAnsi="Times New Roman" w:cs="Times New Roman"/>
          <w:sz w:val="24"/>
          <w:szCs w:val="24"/>
        </w:rPr>
        <w:t>dėl energijos vartojimo efektyvumo</w:t>
      </w:r>
      <w:r>
        <w:rPr>
          <w:rFonts w:ascii="Times New Roman" w:hAnsi="Times New Roman" w:cs="Times New Roman"/>
          <w:sz w:val="24"/>
          <w:szCs w:val="24"/>
        </w:rPr>
        <w:t>:</w:t>
      </w:r>
    </w:p>
    <w:p w14:paraId="25A827E0" w14:textId="4855C2E4" w:rsidR="00013E82" w:rsidRDefault="00013E82" w:rsidP="00A13EA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Pr="00013E82">
        <w:rPr>
          <w:rFonts w:ascii="Times New Roman" w:hAnsi="Times New Roman" w:cs="Times New Roman"/>
          <w:i/>
          <w:iCs/>
          <w:sz w:val="24"/>
          <w:szCs w:val="24"/>
        </w:rPr>
        <w:t xml:space="preserve">41) efektyvaus centralizuoto šilumos ir vėsumos tiekimas – centralizuoto šilumos arba vėsumos tiekimo sistema, kurią taikant naudojama bent 50 % atsinaujinančiųjų išteklių energijos, 50 % </w:t>
      </w:r>
      <w:proofErr w:type="spellStart"/>
      <w:r w:rsidRPr="00013E82">
        <w:rPr>
          <w:rFonts w:ascii="Times New Roman" w:hAnsi="Times New Roman" w:cs="Times New Roman"/>
          <w:i/>
          <w:iCs/>
          <w:sz w:val="24"/>
          <w:szCs w:val="24"/>
        </w:rPr>
        <w:t>atliekinės</w:t>
      </w:r>
      <w:proofErr w:type="spellEnd"/>
      <w:r w:rsidRPr="00013E82">
        <w:rPr>
          <w:rFonts w:ascii="Times New Roman" w:hAnsi="Times New Roman" w:cs="Times New Roman"/>
          <w:i/>
          <w:iCs/>
          <w:sz w:val="24"/>
          <w:szCs w:val="24"/>
        </w:rPr>
        <w:t xml:space="preserve"> šilumos, 75 % </w:t>
      </w:r>
      <w:proofErr w:type="spellStart"/>
      <w:r w:rsidRPr="00013E82">
        <w:rPr>
          <w:rFonts w:ascii="Times New Roman" w:hAnsi="Times New Roman" w:cs="Times New Roman"/>
          <w:i/>
          <w:iCs/>
          <w:sz w:val="24"/>
          <w:szCs w:val="24"/>
        </w:rPr>
        <w:t>kogeneracijos</w:t>
      </w:r>
      <w:proofErr w:type="spellEnd"/>
      <w:r w:rsidRPr="00013E82">
        <w:rPr>
          <w:rFonts w:ascii="Times New Roman" w:hAnsi="Times New Roman" w:cs="Times New Roman"/>
          <w:i/>
          <w:iCs/>
          <w:sz w:val="24"/>
          <w:szCs w:val="24"/>
        </w:rPr>
        <w:t xml:space="preserve"> metu pagamintos šilumos arba 50 % tokios energijos ir šilumos derinio;</w:t>
      </w:r>
      <w:r>
        <w:rPr>
          <w:rFonts w:ascii="Times New Roman" w:hAnsi="Times New Roman" w:cs="Times New Roman"/>
          <w:sz w:val="24"/>
          <w:szCs w:val="24"/>
        </w:rPr>
        <w:t>“</w:t>
      </w:r>
    </w:p>
    <w:p w14:paraId="1D228E68" w14:textId="068CAAEF" w:rsidR="00013E82" w:rsidRDefault="00013E82" w:rsidP="00A13EA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Iš esmės analogiškai atkartota nuostata ir Šilumos ūkio įstatymo sąvokoje:</w:t>
      </w:r>
    </w:p>
    <w:p w14:paraId="5D864C4B" w14:textId="75E2F25D" w:rsidR="00013E82" w:rsidRPr="007076C9" w:rsidRDefault="00013E82" w:rsidP="00A13EA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Pr="00013E82">
        <w:rPr>
          <w:rFonts w:ascii="Times New Roman" w:hAnsi="Times New Roman" w:cs="Times New Roman"/>
          <w:i/>
          <w:iCs/>
          <w:sz w:val="24"/>
          <w:szCs w:val="24"/>
        </w:rPr>
        <w:t xml:space="preserve">10. Efektyvaus centralizuoto šilumos tiekimo sistema – aprūpinimo šiluma sistema, kurioje esamam šilumos energijos poreikiui pagaminti naudojama ne mažiau kaip 50 procentų atsinaujinančiųjų </w:t>
      </w:r>
      <w:r w:rsidRPr="00013E82">
        <w:rPr>
          <w:rFonts w:ascii="Times New Roman" w:hAnsi="Times New Roman" w:cs="Times New Roman"/>
          <w:i/>
          <w:iCs/>
          <w:sz w:val="24"/>
          <w:szCs w:val="24"/>
        </w:rPr>
        <w:lastRenderedPageBreak/>
        <w:t>išteklių energijos, 50 procentų technologinio proceso metu nepanaudotos šilumos, 75 procentai bendruose šilumos ir elektros gamybos įrenginiuose pagamintos šilumos arba ne mažiau kaip 50 procentų bendro jų derinio.</w:t>
      </w:r>
      <w:r>
        <w:rPr>
          <w:rFonts w:ascii="Times New Roman" w:hAnsi="Times New Roman" w:cs="Times New Roman"/>
          <w:sz w:val="24"/>
          <w:szCs w:val="24"/>
        </w:rPr>
        <w:t>“</w:t>
      </w:r>
    </w:p>
    <w:p w14:paraId="2329570B" w14:textId="668969B9" w:rsidR="00D63D30" w:rsidRPr="007076C9" w:rsidRDefault="00013E82" w:rsidP="00A13EA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Atsižvelgus į aukštesnės galios teisės aktų </w:t>
      </w:r>
      <w:r w:rsidR="004B59B0">
        <w:rPr>
          <w:rFonts w:ascii="Times New Roman" w:hAnsi="Times New Roman" w:cs="Times New Roman"/>
          <w:sz w:val="24"/>
          <w:szCs w:val="24"/>
        </w:rPr>
        <w:t xml:space="preserve">nuostatas, manytina, kad </w:t>
      </w:r>
      <w:r w:rsidR="004B59B0" w:rsidRPr="004B59B0">
        <w:rPr>
          <w:rFonts w:ascii="Times New Roman" w:hAnsi="Times New Roman" w:cs="Times New Roman"/>
          <w:sz w:val="24"/>
          <w:szCs w:val="24"/>
        </w:rPr>
        <w:t>šilumos tiekimo sistemos energin</w:t>
      </w:r>
      <w:r w:rsidR="004B59B0">
        <w:rPr>
          <w:rFonts w:ascii="Times New Roman" w:hAnsi="Times New Roman" w:cs="Times New Roman"/>
          <w:sz w:val="24"/>
          <w:szCs w:val="24"/>
        </w:rPr>
        <w:t>is</w:t>
      </w:r>
      <w:r w:rsidR="004B59B0" w:rsidRPr="004B59B0">
        <w:rPr>
          <w:rFonts w:ascii="Times New Roman" w:hAnsi="Times New Roman" w:cs="Times New Roman"/>
          <w:sz w:val="24"/>
          <w:szCs w:val="24"/>
        </w:rPr>
        <w:t xml:space="preserve"> naudingum</w:t>
      </w:r>
      <w:r w:rsidR="004B59B0">
        <w:rPr>
          <w:rFonts w:ascii="Times New Roman" w:hAnsi="Times New Roman" w:cs="Times New Roman"/>
          <w:sz w:val="24"/>
          <w:szCs w:val="24"/>
        </w:rPr>
        <w:t xml:space="preserve">as taip pat turėtų būti vertinamas, atsižvelgiant į sistemos atsinaujinančių energijos išteklių dalį, atliekas, </w:t>
      </w:r>
      <w:proofErr w:type="spellStart"/>
      <w:r w:rsidR="004B59B0">
        <w:rPr>
          <w:rFonts w:ascii="Times New Roman" w:hAnsi="Times New Roman" w:cs="Times New Roman"/>
          <w:sz w:val="24"/>
          <w:szCs w:val="24"/>
        </w:rPr>
        <w:t>kogeneracijos</w:t>
      </w:r>
      <w:proofErr w:type="spellEnd"/>
      <w:r w:rsidR="004B59B0">
        <w:rPr>
          <w:rFonts w:ascii="Times New Roman" w:hAnsi="Times New Roman" w:cs="Times New Roman"/>
          <w:sz w:val="24"/>
          <w:szCs w:val="24"/>
        </w:rPr>
        <w:t xml:space="preserve"> būdu pagamintą šilumos kiekį.</w:t>
      </w:r>
      <w:r w:rsidR="00AF7662">
        <w:rPr>
          <w:rFonts w:ascii="Times New Roman" w:hAnsi="Times New Roman" w:cs="Times New Roman"/>
          <w:sz w:val="24"/>
          <w:szCs w:val="24"/>
        </w:rPr>
        <w:t xml:space="preserve"> Galimai tam reikia poįstatyminių teisės aktų patikslinimo.</w:t>
      </w:r>
    </w:p>
    <w:p w14:paraId="1BE1220F" w14:textId="4BDED747" w:rsidR="00D63D30" w:rsidRPr="007076C9" w:rsidRDefault="00D63D30" w:rsidP="00A13EA7">
      <w:pPr>
        <w:spacing w:after="0" w:line="360" w:lineRule="auto"/>
        <w:jc w:val="both"/>
        <w:rPr>
          <w:rFonts w:ascii="Times New Roman" w:hAnsi="Times New Roman"/>
          <w:sz w:val="24"/>
        </w:rPr>
      </w:pPr>
      <w:r w:rsidRPr="007076C9">
        <w:rPr>
          <w:rFonts w:ascii="Times New Roman" w:hAnsi="Times New Roman" w:cs="Times New Roman"/>
          <w:sz w:val="24"/>
          <w:szCs w:val="24"/>
        </w:rPr>
        <w:tab/>
      </w:r>
      <w:r w:rsidR="00DA303A" w:rsidRPr="007076C9">
        <w:rPr>
          <w:rFonts w:ascii="Times New Roman" w:hAnsi="Times New Roman"/>
          <w:sz w:val="24"/>
        </w:rPr>
        <w:t xml:space="preserve">Vieni šilumos tiekėjai turi daugiau, kiti – mažiau sistemų, todėl bus teikiamas skirtingas informacijos kiekis, galimai vieni tiekėjai susidurs su didesne, kiti – su mažesne administracine našta, todėl siūlytina sistemų energinį naudingumą nustatyti </w:t>
      </w:r>
      <w:r w:rsidR="00F145ED" w:rsidRPr="007076C9">
        <w:rPr>
          <w:rFonts w:ascii="Times New Roman" w:hAnsi="Times New Roman"/>
          <w:sz w:val="24"/>
        </w:rPr>
        <w:t xml:space="preserve">bendrą vieną visų įmonės valdomų sistemų, kuriose per metus </w:t>
      </w:r>
      <w:r w:rsidR="000C097D" w:rsidRPr="007076C9">
        <w:rPr>
          <w:rFonts w:ascii="Times New Roman" w:hAnsi="Times New Roman"/>
          <w:sz w:val="24"/>
        </w:rPr>
        <w:t xml:space="preserve">parduodama </w:t>
      </w:r>
      <w:r w:rsidR="00F145ED" w:rsidRPr="007076C9">
        <w:rPr>
          <w:rFonts w:ascii="Times New Roman" w:hAnsi="Times New Roman"/>
          <w:sz w:val="24"/>
        </w:rPr>
        <w:t xml:space="preserve"> daugiau kaip 10 </w:t>
      </w:r>
      <w:proofErr w:type="spellStart"/>
      <w:r w:rsidR="00F145ED" w:rsidRPr="007076C9">
        <w:rPr>
          <w:rFonts w:ascii="Times New Roman" w:hAnsi="Times New Roman"/>
          <w:sz w:val="24"/>
        </w:rPr>
        <w:t>GWh</w:t>
      </w:r>
      <w:proofErr w:type="spellEnd"/>
      <w:r w:rsidR="00F145ED" w:rsidRPr="007076C9">
        <w:rPr>
          <w:rFonts w:ascii="Times New Roman" w:hAnsi="Times New Roman"/>
          <w:sz w:val="24"/>
        </w:rPr>
        <w:t xml:space="preserve"> šilumos.</w:t>
      </w:r>
      <w:r w:rsidR="00E704D2" w:rsidRPr="007076C9">
        <w:rPr>
          <w:rFonts w:ascii="Times New Roman" w:hAnsi="Times New Roman"/>
          <w:sz w:val="24"/>
        </w:rPr>
        <w:t xml:space="preserve"> Tai yra</w:t>
      </w:r>
      <w:r w:rsidR="000C097D" w:rsidRPr="007076C9">
        <w:rPr>
          <w:rFonts w:ascii="Times New Roman" w:hAnsi="Times New Roman"/>
          <w:sz w:val="24"/>
        </w:rPr>
        <w:t>,</w:t>
      </w:r>
      <w:r w:rsidR="00E704D2" w:rsidRPr="007076C9">
        <w:rPr>
          <w:rFonts w:ascii="Times New Roman" w:hAnsi="Times New Roman"/>
          <w:sz w:val="24"/>
        </w:rPr>
        <w:t xml:space="preserve"> tokio</w:t>
      </w:r>
      <w:r w:rsidR="000C097D" w:rsidRPr="007076C9">
        <w:rPr>
          <w:rFonts w:ascii="Times New Roman" w:hAnsi="Times New Roman"/>
          <w:sz w:val="24"/>
        </w:rPr>
        <w:t xml:space="preserve">se </w:t>
      </w:r>
      <w:r w:rsidR="00E704D2" w:rsidRPr="007076C9">
        <w:rPr>
          <w:rFonts w:ascii="Times New Roman" w:hAnsi="Times New Roman"/>
          <w:sz w:val="24"/>
        </w:rPr>
        <w:t>sistemo</w:t>
      </w:r>
      <w:r w:rsidR="000C097D" w:rsidRPr="007076C9">
        <w:rPr>
          <w:rFonts w:ascii="Times New Roman" w:hAnsi="Times New Roman"/>
          <w:sz w:val="24"/>
        </w:rPr>
        <w:t>se</w:t>
      </w:r>
      <w:r w:rsidR="00E704D2" w:rsidRPr="007076C9">
        <w:rPr>
          <w:rFonts w:ascii="Times New Roman" w:hAnsi="Times New Roman"/>
          <w:sz w:val="24"/>
        </w:rPr>
        <w:t xml:space="preserve">, </w:t>
      </w:r>
      <w:r w:rsidR="007F655E">
        <w:rPr>
          <w:rFonts w:ascii="Times New Roman" w:hAnsi="Times New Roman"/>
          <w:sz w:val="24"/>
        </w:rPr>
        <w:t xml:space="preserve">kurioms </w:t>
      </w:r>
      <w:r w:rsidR="00E704D2" w:rsidRPr="007076C9">
        <w:rPr>
          <w:rFonts w:ascii="Times New Roman" w:hAnsi="Times New Roman"/>
          <w:sz w:val="24"/>
        </w:rPr>
        <w:t xml:space="preserve">pagal </w:t>
      </w:r>
      <w:r w:rsidR="007F655E">
        <w:rPr>
          <w:rFonts w:ascii="Times New Roman" w:hAnsi="Times New Roman"/>
          <w:sz w:val="24"/>
        </w:rPr>
        <w:t>Šilumos ūkio įstatymo reikalavimus</w:t>
      </w:r>
      <w:r w:rsidR="00E704D2" w:rsidRPr="007076C9">
        <w:rPr>
          <w:rFonts w:ascii="Times New Roman" w:hAnsi="Times New Roman"/>
          <w:sz w:val="24"/>
        </w:rPr>
        <w:t>, bent jau vedama atskira sąnaudų apskaita (</w:t>
      </w:r>
      <w:r w:rsidR="007F655E">
        <w:rPr>
          <w:rFonts w:ascii="Times New Roman" w:hAnsi="Times New Roman"/>
          <w:sz w:val="24"/>
        </w:rPr>
        <w:t xml:space="preserve">34 str. 1 dalis: </w:t>
      </w:r>
      <w:r w:rsidR="007F655E" w:rsidRPr="007F655E">
        <w:rPr>
          <w:rFonts w:ascii="Times New Roman" w:hAnsi="Times New Roman"/>
          <w:i/>
          <w:iCs/>
          <w:sz w:val="24"/>
        </w:rPr>
        <w:t xml:space="preserve">jeigu šilumos tiekėjas valdo daugiau kaip vieną šilumos tiekimo sistemą, kurioje realizuojama ne mažiau kaip 10 </w:t>
      </w:r>
      <w:proofErr w:type="spellStart"/>
      <w:r w:rsidR="007F655E" w:rsidRPr="007F655E">
        <w:rPr>
          <w:rFonts w:ascii="Times New Roman" w:hAnsi="Times New Roman"/>
          <w:i/>
          <w:iCs/>
          <w:sz w:val="24"/>
        </w:rPr>
        <w:t>GWh</w:t>
      </w:r>
      <w:proofErr w:type="spellEnd"/>
      <w:r w:rsidR="007F655E" w:rsidRPr="007F655E">
        <w:rPr>
          <w:rFonts w:ascii="Times New Roman" w:hAnsi="Times New Roman"/>
          <w:i/>
          <w:iCs/>
          <w:sz w:val="24"/>
        </w:rPr>
        <w:t xml:space="preserve"> šilumos per metus, kiekvienos sistemos sąnaudos įtraukiamos į apskaitą atskirai</w:t>
      </w:r>
      <w:r w:rsidR="00E704D2" w:rsidRPr="007076C9">
        <w:rPr>
          <w:rFonts w:ascii="Times New Roman" w:hAnsi="Times New Roman"/>
          <w:sz w:val="24"/>
        </w:rPr>
        <w:t>)</w:t>
      </w:r>
      <w:r w:rsidR="007F655E">
        <w:rPr>
          <w:rFonts w:ascii="Times New Roman" w:hAnsi="Times New Roman"/>
          <w:sz w:val="24"/>
        </w:rPr>
        <w:t>.</w:t>
      </w:r>
    </w:p>
    <w:p w14:paraId="21F47EC4" w14:textId="6144EE59" w:rsidR="00210763" w:rsidRPr="007076C9" w:rsidRDefault="00F145ED" w:rsidP="00A13EA7">
      <w:pPr>
        <w:spacing w:after="0" w:line="360" w:lineRule="auto"/>
        <w:jc w:val="both"/>
        <w:rPr>
          <w:rFonts w:ascii="Times New Roman" w:hAnsi="Times New Roman"/>
          <w:sz w:val="24"/>
        </w:rPr>
      </w:pPr>
      <w:r w:rsidRPr="007076C9">
        <w:rPr>
          <w:rFonts w:ascii="Times New Roman" w:hAnsi="Times New Roman"/>
          <w:sz w:val="24"/>
        </w:rPr>
        <w:tab/>
        <w:t>Atkreiptinas dėmesys, kad Įstatymo pataisos reikalauja, jog kartą per metus būtų teikiama informacija apie atsinaujinančių išteklių energijos procentinę dalį gaminant šilumą. Šilumos tiekimo sistemose yra tiekiama šiluma vartotojams, kuri pagaminama paties šilumos tiekėjo arba superkama iš nepriklausomo šilumos gamintojo Šilumos ūkio įstatymo 10 ir 10</w:t>
      </w:r>
      <w:r w:rsidRPr="007076C9">
        <w:rPr>
          <w:rFonts w:ascii="Times New Roman" w:hAnsi="Times New Roman"/>
          <w:sz w:val="24"/>
          <w:vertAlign w:val="superscript"/>
        </w:rPr>
        <w:t>1</w:t>
      </w:r>
      <w:r w:rsidRPr="007076C9">
        <w:rPr>
          <w:rFonts w:ascii="Times New Roman" w:hAnsi="Times New Roman"/>
          <w:sz w:val="24"/>
        </w:rPr>
        <w:t xml:space="preserve"> straipsnių nustatyta tvarka. Kaip gerai žinoma Energetikos ministerijai, šilumos tiekėjas, kuriam numatyta įstatyminė pareiga teikti informaciją, nežino duomenų apie nepriklausomų šilumos gamintojų atsinaujinančių energijos išteklių dalį šilumos gamyboje. Ypač atsekamumas sudėtingėja, </w:t>
      </w:r>
      <w:r w:rsidR="0097684F" w:rsidRPr="007076C9">
        <w:rPr>
          <w:rFonts w:ascii="Times New Roman" w:hAnsi="Times New Roman"/>
          <w:sz w:val="24"/>
        </w:rPr>
        <w:t xml:space="preserve">kai </w:t>
      </w:r>
      <w:r w:rsidRPr="007076C9">
        <w:rPr>
          <w:rFonts w:ascii="Times New Roman" w:hAnsi="Times New Roman"/>
          <w:sz w:val="24"/>
        </w:rPr>
        <w:t xml:space="preserve"> sistemoje šiluma gaminama ir iš atliekų, </w:t>
      </w:r>
      <w:r w:rsidR="0097684F" w:rsidRPr="007076C9">
        <w:rPr>
          <w:rFonts w:ascii="Times New Roman" w:hAnsi="Times New Roman"/>
          <w:sz w:val="24"/>
        </w:rPr>
        <w:t xml:space="preserve">kur </w:t>
      </w:r>
      <w:r w:rsidRPr="007076C9">
        <w:rPr>
          <w:rFonts w:ascii="Times New Roman" w:hAnsi="Times New Roman"/>
          <w:sz w:val="24"/>
        </w:rPr>
        <w:t xml:space="preserve"> reikia atskirti atliekų atsinaujinančią ir neatsinaujinančią dalį. Tai įvertinus, Energetikos ministerija turi numatyti mechanizmą, kaip šilumos tiekėjui surinkti informaciją iš nepriklausomų gamintojų apie jų kuro struktūrą ir objektyviai paskelbti visos sistemos visos sistemos atsinaujinančių išteklių dalį.</w:t>
      </w:r>
    </w:p>
    <w:p w14:paraId="3A347E2A" w14:textId="77777777" w:rsidR="00F145ED" w:rsidRPr="007076C9" w:rsidRDefault="00F145ED" w:rsidP="00A13EA7">
      <w:pPr>
        <w:spacing w:after="0" w:line="360" w:lineRule="auto"/>
        <w:jc w:val="both"/>
        <w:rPr>
          <w:rFonts w:ascii="Times New Roman" w:hAnsi="Times New Roman"/>
          <w:sz w:val="24"/>
        </w:rPr>
      </w:pPr>
      <w:r w:rsidRPr="007076C9">
        <w:rPr>
          <w:rFonts w:ascii="Times New Roman" w:hAnsi="Times New Roman"/>
          <w:sz w:val="24"/>
        </w:rPr>
        <w:tab/>
      </w:r>
      <w:r w:rsidRPr="007076C9">
        <w:rPr>
          <w:rFonts w:ascii="Times New Roman" w:hAnsi="Times New Roman"/>
          <w:b/>
          <w:bCs/>
          <w:sz w:val="24"/>
        </w:rPr>
        <w:t>3.</w:t>
      </w:r>
      <w:r w:rsidRPr="007076C9">
        <w:rPr>
          <w:rFonts w:ascii="Times New Roman" w:hAnsi="Times New Roman"/>
          <w:sz w:val="24"/>
        </w:rPr>
        <w:t xml:space="preserve"> Įstatymo pataisų 7 straipsnis numato:</w:t>
      </w:r>
    </w:p>
    <w:p w14:paraId="0AD8F045" w14:textId="77777777" w:rsidR="00F145ED" w:rsidRPr="007076C9" w:rsidRDefault="00F145ED" w:rsidP="00A13EA7">
      <w:pPr>
        <w:spacing w:after="0" w:line="360" w:lineRule="auto"/>
        <w:jc w:val="both"/>
        <w:rPr>
          <w:rFonts w:ascii="Times New Roman" w:hAnsi="Times New Roman"/>
          <w:i/>
          <w:iCs/>
          <w:sz w:val="24"/>
        </w:rPr>
      </w:pPr>
      <w:r w:rsidRPr="007076C9">
        <w:rPr>
          <w:rFonts w:ascii="Times New Roman" w:hAnsi="Times New Roman"/>
          <w:sz w:val="24"/>
        </w:rPr>
        <w:t>„</w:t>
      </w:r>
      <w:r w:rsidRPr="007076C9">
        <w:rPr>
          <w:rFonts w:ascii="Times New Roman" w:hAnsi="Times New Roman"/>
          <w:i/>
          <w:iCs/>
          <w:sz w:val="24"/>
        </w:rPr>
        <w:t>2. Šilumos ir (ar) karšto vandens tiekėjas privalo užtikrinti:</w:t>
      </w:r>
    </w:p>
    <w:p w14:paraId="3F8646D5" w14:textId="77777777" w:rsidR="00F145ED" w:rsidRPr="007076C9" w:rsidRDefault="00F145ED" w:rsidP="00A13EA7">
      <w:pPr>
        <w:spacing w:after="0" w:line="360" w:lineRule="auto"/>
        <w:jc w:val="both"/>
        <w:rPr>
          <w:rFonts w:ascii="Times New Roman" w:hAnsi="Times New Roman"/>
          <w:i/>
          <w:iCs/>
          <w:sz w:val="24"/>
        </w:rPr>
      </w:pPr>
      <w:r w:rsidRPr="007076C9">
        <w:rPr>
          <w:rFonts w:ascii="Times New Roman" w:hAnsi="Times New Roman"/>
          <w:i/>
          <w:iCs/>
          <w:sz w:val="24"/>
        </w:rPr>
        <w:t>&lt;...&gt;</w:t>
      </w:r>
    </w:p>
    <w:p w14:paraId="1D5822F6" w14:textId="77777777" w:rsidR="00F145ED" w:rsidRPr="007076C9" w:rsidRDefault="00F145ED" w:rsidP="00A13EA7">
      <w:pPr>
        <w:spacing w:after="0" w:line="360" w:lineRule="auto"/>
        <w:jc w:val="both"/>
        <w:rPr>
          <w:rFonts w:ascii="Times New Roman" w:hAnsi="Times New Roman"/>
          <w:sz w:val="24"/>
        </w:rPr>
      </w:pPr>
      <w:r w:rsidRPr="007076C9">
        <w:rPr>
          <w:rFonts w:ascii="Times New Roman" w:hAnsi="Times New Roman"/>
          <w:i/>
          <w:iCs/>
          <w:sz w:val="24"/>
        </w:rPr>
        <w:t>4) saugų, patikimą ir ekonomišką daugiabučio namo šilumos punkto įrenginių, nuosavybės teise priklausančių šilumos ir (ar) karšto vandens tiekėjui, darbą.</w:t>
      </w:r>
      <w:r w:rsidRPr="007076C9">
        <w:rPr>
          <w:rFonts w:ascii="Times New Roman" w:hAnsi="Times New Roman"/>
          <w:sz w:val="24"/>
        </w:rPr>
        <w:t>“</w:t>
      </w:r>
    </w:p>
    <w:p w14:paraId="6DB114AF" w14:textId="58B18360" w:rsidR="00F145ED" w:rsidRPr="007076C9" w:rsidRDefault="00F145ED" w:rsidP="00A13EA7">
      <w:pPr>
        <w:spacing w:after="0" w:line="360" w:lineRule="auto"/>
        <w:jc w:val="both"/>
        <w:rPr>
          <w:rFonts w:ascii="Times New Roman" w:hAnsi="Times New Roman"/>
          <w:sz w:val="24"/>
        </w:rPr>
      </w:pPr>
      <w:r w:rsidRPr="007076C9">
        <w:rPr>
          <w:rFonts w:ascii="Times New Roman" w:hAnsi="Times New Roman"/>
          <w:sz w:val="24"/>
        </w:rPr>
        <w:tab/>
        <w:t xml:space="preserve"> Tuo tarpu Šilumos ūkio įstatymo 20 str. 1 dalis reglamentuoja, kad „</w:t>
      </w:r>
      <w:r w:rsidRPr="007076C9">
        <w:rPr>
          <w:rFonts w:ascii="Times New Roman" w:hAnsi="Times New Roman"/>
          <w:i/>
          <w:iCs/>
          <w:sz w:val="24"/>
        </w:rPr>
        <w:t>teisę reguliuoti (nuotoliniu būdu ar kitaip daryti įtaką) namo šilumos punkto įrenginių darbą, laikydamasis nustatytų higienos normų, turi tik pastato šildymo ir karšto vandens sistemos prižiūrėtojas (eksploatuotojas) &lt;...&gt;</w:t>
      </w:r>
      <w:r w:rsidRPr="007076C9">
        <w:rPr>
          <w:rFonts w:ascii="Times New Roman" w:hAnsi="Times New Roman"/>
          <w:sz w:val="24"/>
        </w:rPr>
        <w:t xml:space="preserve">“. Kaip žinoma, šilumos punkto ekonomišką darbą lemia šilumos punkto parametrų reguliavimas, o tai daryti gali tik vidaus šildymo ir karšto vandens sistemų prižiūrėtojas, bet ne </w:t>
      </w:r>
      <w:r w:rsidRPr="007076C9">
        <w:rPr>
          <w:rFonts w:ascii="Times New Roman" w:hAnsi="Times New Roman"/>
          <w:sz w:val="24"/>
        </w:rPr>
        <w:lastRenderedPageBreak/>
        <w:t>šilumos punkto savininkas. Šilumos punkto saugumas ir patikimumas labai priklauso nuo prižiūrėtojo kokybiškai ar ne atliekamos pastato šildymo ir karšto vandens sistemos dalių priežiūros (eksploatavimo) pagal Pastato šildymo ir karšto vandens sistemos priežiūros tvarkos aprašo, patvirtinto energetikos ministro 2009 m. lapkričio 26 d. įsakymu Nr. 1-229, reikalavimus. Įvertinus tai, kas išdėstyta</w:t>
      </w:r>
      <w:r w:rsidR="002F537A">
        <w:rPr>
          <w:rFonts w:ascii="Times New Roman" w:hAnsi="Times New Roman"/>
          <w:sz w:val="24"/>
        </w:rPr>
        <w:t>,</w:t>
      </w:r>
      <w:r w:rsidRPr="007076C9">
        <w:rPr>
          <w:rFonts w:ascii="Times New Roman" w:hAnsi="Times New Roman"/>
          <w:sz w:val="24"/>
        </w:rPr>
        <w:t xml:space="preserve"> </w:t>
      </w:r>
      <w:r w:rsidR="002F537A">
        <w:rPr>
          <w:rFonts w:ascii="Times New Roman" w:hAnsi="Times New Roman"/>
          <w:sz w:val="24"/>
        </w:rPr>
        <w:t>s</w:t>
      </w:r>
      <w:r w:rsidRPr="007076C9">
        <w:rPr>
          <w:rFonts w:ascii="Times New Roman" w:hAnsi="Times New Roman"/>
          <w:sz w:val="24"/>
        </w:rPr>
        <w:t>iūlytina poįstatyminiuose teisės aktuose suformuoti šių reikalavimų įgyvendinimo nuostatas, pavyzdžiui:</w:t>
      </w:r>
    </w:p>
    <w:p w14:paraId="3B001859" w14:textId="219F94CA" w:rsidR="00F145ED" w:rsidRPr="007076C9" w:rsidRDefault="00F145ED" w:rsidP="00A13EA7">
      <w:pPr>
        <w:pStyle w:val="ListParagraph"/>
        <w:numPr>
          <w:ilvl w:val="0"/>
          <w:numId w:val="1"/>
        </w:numPr>
        <w:spacing w:after="0" w:line="360" w:lineRule="auto"/>
        <w:jc w:val="both"/>
        <w:rPr>
          <w:rFonts w:ascii="Times New Roman" w:hAnsi="Times New Roman"/>
          <w:sz w:val="24"/>
        </w:rPr>
      </w:pPr>
      <w:r w:rsidRPr="007076C9">
        <w:rPr>
          <w:rFonts w:ascii="Times New Roman" w:hAnsi="Times New Roman"/>
          <w:sz w:val="24"/>
        </w:rPr>
        <w:t xml:space="preserve">Jeigu vidaus sistemų prižiūrėtojas neužtikrina tinklų vandens, cirkuliuojančio pastate, parametrų projektinėse ribose (grįžtamojo vandens temperatūros, slėgio perkryčio, debito ar pan.) ilgiau kaip 3 dienas ir dėl to mažėja visos CŠT sistemos energetinis efektyvumas, šilumos tiekėjas privalo perspėti prižiūrėtoją ir informuoti </w:t>
      </w:r>
      <w:r w:rsidR="002F537A">
        <w:rPr>
          <w:rFonts w:ascii="Times New Roman" w:hAnsi="Times New Roman"/>
          <w:sz w:val="24"/>
        </w:rPr>
        <w:t>Tarybą</w:t>
      </w:r>
      <w:r w:rsidRPr="007076C9">
        <w:rPr>
          <w:rFonts w:ascii="Times New Roman" w:hAnsi="Times New Roman"/>
          <w:sz w:val="24"/>
        </w:rPr>
        <w:t xml:space="preserve"> apie </w:t>
      </w:r>
      <w:r w:rsidR="000C097D" w:rsidRPr="007076C9">
        <w:rPr>
          <w:rFonts w:ascii="Times New Roman" w:hAnsi="Times New Roman"/>
          <w:sz w:val="24"/>
        </w:rPr>
        <w:t>situaciją konkrečiame pastate</w:t>
      </w:r>
      <w:r w:rsidRPr="007076C9">
        <w:rPr>
          <w:rFonts w:ascii="Times New Roman" w:hAnsi="Times New Roman"/>
          <w:sz w:val="24"/>
        </w:rPr>
        <w:t xml:space="preserve">     </w:t>
      </w:r>
    </w:p>
    <w:p w14:paraId="0DB2E1BB" w14:textId="6A5E857B" w:rsidR="00F145ED" w:rsidRPr="007076C9" w:rsidRDefault="00F145ED" w:rsidP="00A13EA7">
      <w:pPr>
        <w:pStyle w:val="ListParagraph"/>
        <w:numPr>
          <w:ilvl w:val="0"/>
          <w:numId w:val="1"/>
        </w:numPr>
        <w:spacing w:after="0" w:line="360" w:lineRule="auto"/>
        <w:jc w:val="both"/>
        <w:rPr>
          <w:rFonts w:ascii="Times New Roman" w:hAnsi="Times New Roman"/>
          <w:sz w:val="24"/>
        </w:rPr>
      </w:pPr>
      <w:r w:rsidRPr="007076C9">
        <w:rPr>
          <w:rFonts w:ascii="Times New Roman" w:hAnsi="Times New Roman"/>
          <w:sz w:val="24"/>
        </w:rPr>
        <w:t xml:space="preserve">Prižiūrėtojas privalo ne vėliau kaip per </w:t>
      </w:r>
      <w:r w:rsidR="00875441" w:rsidRPr="007076C9">
        <w:rPr>
          <w:rFonts w:ascii="Times New Roman" w:hAnsi="Times New Roman"/>
          <w:sz w:val="24"/>
        </w:rPr>
        <w:t>3</w:t>
      </w:r>
      <w:r w:rsidRPr="007076C9">
        <w:rPr>
          <w:rFonts w:ascii="Times New Roman" w:hAnsi="Times New Roman"/>
          <w:sz w:val="24"/>
        </w:rPr>
        <w:t xml:space="preserve"> dienas informuoti šilumos tiekėją apie jam priklausančių įrenginių defektus.</w:t>
      </w:r>
    </w:p>
    <w:p w14:paraId="4733ADAE" w14:textId="790A580F" w:rsidR="00875441" w:rsidRPr="007076C9" w:rsidRDefault="00875441" w:rsidP="00A13EA7">
      <w:pPr>
        <w:pStyle w:val="ListParagraph"/>
        <w:numPr>
          <w:ilvl w:val="0"/>
          <w:numId w:val="1"/>
        </w:numPr>
        <w:spacing w:after="0" w:line="360" w:lineRule="auto"/>
        <w:jc w:val="both"/>
        <w:rPr>
          <w:rFonts w:ascii="Times New Roman" w:hAnsi="Times New Roman"/>
          <w:sz w:val="24"/>
        </w:rPr>
      </w:pPr>
      <w:r w:rsidRPr="007076C9">
        <w:rPr>
          <w:rFonts w:ascii="Times New Roman" w:hAnsi="Times New Roman"/>
          <w:sz w:val="24"/>
        </w:rPr>
        <w:t>Prižiūrėtojas privalo sudaryti sąlygas patekti į šilumos punktą šilumos tiekėjo nurodytu laiku ir šilumos tiekėj</w:t>
      </w:r>
      <w:r w:rsidR="000C097D" w:rsidRPr="007076C9">
        <w:rPr>
          <w:rFonts w:ascii="Times New Roman" w:hAnsi="Times New Roman"/>
          <w:sz w:val="24"/>
        </w:rPr>
        <w:t xml:space="preserve">ui atlikti </w:t>
      </w:r>
      <w:r w:rsidRPr="007076C9">
        <w:rPr>
          <w:rFonts w:ascii="Times New Roman" w:hAnsi="Times New Roman"/>
          <w:sz w:val="24"/>
        </w:rPr>
        <w:t xml:space="preserve"> </w:t>
      </w:r>
      <w:r w:rsidR="000C097D" w:rsidRPr="007076C9">
        <w:rPr>
          <w:rFonts w:ascii="Times New Roman" w:hAnsi="Times New Roman"/>
          <w:sz w:val="24"/>
        </w:rPr>
        <w:t xml:space="preserve">jo </w:t>
      </w:r>
      <w:r w:rsidRPr="007076C9">
        <w:rPr>
          <w:rFonts w:ascii="Times New Roman" w:hAnsi="Times New Roman"/>
          <w:sz w:val="24"/>
        </w:rPr>
        <w:t>nuosavybėje esančių įrenginių</w:t>
      </w:r>
      <w:r w:rsidR="002F537A">
        <w:rPr>
          <w:rFonts w:ascii="Times New Roman" w:hAnsi="Times New Roman"/>
          <w:sz w:val="24"/>
        </w:rPr>
        <w:t xml:space="preserve"> apžiūrą </w:t>
      </w:r>
      <w:r w:rsidR="00CA1193">
        <w:rPr>
          <w:rFonts w:ascii="Times New Roman" w:hAnsi="Times New Roman"/>
          <w:sz w:val="24"/>
        </w:rPr>
        <w:t>bei</w:t>
      </w:r>
      <w:r w:rsidR="002F537A">
        <w:rPr>
          <w:rFonts w:ascii="Times New Roman" w:hAnsi="Times New Roman"/>
          <w:sz w:val="24"/>
        </w:rPr>
        <w:t xml:space="preserve"> </w:t>
      </w:r>
      <w:r w:rsidRPr="007076C9">
        <w:rPr>
          <w:rFonts w:ascii="Times New Roman" w:hAnsi="Times New Roman"/>
          <w:sz w:val="24"/>
        </w:rPr>
        <w:t xml:space="preserve"> remontą.</w:t>
      </w:r>
    </w:p>
    <w:p w14:paraId="247BC34D" w14:textId="7EDF8D84" w:rsidR="00F145ED" w:rsidRPr="00A13EA7" w:rsidRDefault="00CA1193" w:rsidP="00A13EA7">
      <w:pPr>
        <w:pStyle w:val="ListParagraph"/>
        <w:numPr>
          <w:ilvl w:val="0"/>
          <w:numId w:val="1"/>
        </w:numPr>
        <w:spacing w:after="0" w:line="360" w:lineRule="auto"/>
        <w:jc w:val="both"/>
        <w:rPr>
          <w:rFonts w:ascii="Times New Roman" w:hAnsi="Times New Roman"/>
          <w:sz w:val="24"/>
        </w:rPr>
      </w:pPr>
      <w:r>
        <w:rPr>
          <w:rFonts w:ascii="Times New Roman" w:hAnsi="Times New Roman"/>
          <w:sz w:val="24"/>
        </w:rPr>
        <w:t xml:space="preserve">Matome būtinybę </w:t>
      </w:r>
      <w:r w:rsidR="00B2183D">
        <w:rPr>
          <w:rFonts w:ascii="Times New Roman" w:hAnsi="Times New Roman"/>
          <w:sz w:val="24"/>
        </w:rPr>
        <w:t xml:space="preserve">atitinkamai </w:t>
      </w:r>
      <w:r>
        <w:rPr>
          <w:rFonts w:ascii="Times New Roman" w:hAnsi="Times New Roman"/>
          <w:sz w:val="24"/>
        </w:rPr>
        <w:t>tikslinti ar papildyti Šilumos tiekimo ir vartojimo taisyklių skyri</w:t>
      </w:r>
      <w:r w:rsidR="0068193E">
        <w:rPr>
          <w:rFonts w:ascii="Times New Roman" w:hAnsi="Times New Roman"/>
          <w:sz w:val="24"/>
        </w:rPr>
        <w:t>us</w:t>
      </w:r>
      <w:r w:rsidR="00B2183D">
        <w:rPr>
          <w:rFonts w:ascii="Times New Roman" w:hAnsi="Times New Roman"/>
          <w:sz w:val="24"/>
        </w:rPr>
        <w:t xml:space="preserve">: </w:t>
      </w:r>
      <w:r w:rsidRPr="00CA1193">
        <w:rPr>
          <w:rFonts w:ascii="Times New Roman" w:hAnsi="Times New Roman"/>
          <w:sz w:val="24"/>
        </w:rPr>
        <w:t>IX. Šilumos tiekėjo teisės ir pareigos</w:t>
      </w:r>
      <w:r>
        <w:rPr>
          <w:rFonts w:ascii="Times New Roman" w:hAnsi="Times New Roman"/>
          <w:sz w:val="24"/>
        </w:rPr>
        <w:t xml:space="preserve"> ir </w:t>
      </w:r>
      <w:r w:rsidRPr="00CA1193">
        <w:rPr>
          <w:rFonts w:ascii="Times New Roman" w:hAnsi="Times New Roman"/>
          <w:sz w:val="24"/>
        </w:rPr>
        <w:t>XI. Prižiūrėtojo teisės ir pareigos</w:t>
      </w:r>
      <w:r>
        <w:rPr>
          <w:rFonts w:ascii="Times New Roman" w:hAnsi="Times New Roman"/>
          <w:sz w:val="24"/>
        </w:rPr>
        <w:t xml:space="preserve"> formuluotes.</w:t>
      </w:r>
    </w:p>
    <w:p w14:paraId="1E6E4580" w14:textId="78BDC8AC" w:rsidR="005B6F60" w:rsidRPr="007076C9" w:rsidRDefault="001800E4" w:rsidP="00A13EA7">
      <w:pPr>
        <w:spacing w:after="0" w:line="360" w:lineRule="auto"/>
        <w:ind w:firstLine="1296"/>
        <w:jc w:val="both"/>
        <w:rPr>
          <w:rFonts w:ascii="Times New Roman" w:hAnsi="Times New Roman"/>
          <w:sz w:val="24"/>
        </w:rPr>
      </w:pPr>
      <w:r w:rsidRPr="007076C9">
        <w:rPr>
          <w:rFonts w:ascii="Times New Roman" w:hAnsi="Times New Roman"/>
          <w:sz w:val="24"/>
        </w:rPr>
        <w:t xml:space="preserve">Asociacija tikisi konstruktyvaus bendradarbiavimo, todėl prašome Energetikos ministerijos pateikti savo nuomonę ir poziciją šiame rašte išdėstytais </w:t>
      </w:r>
      <w:r w:rsidR="005B6F60" w:rsidRPr="007076C9">
        <w:rPr>
          <w:rFonts w:ascii="Times New Roman" w:hAnsi="Times New Roman"/>
          <w:sz w:val="24"/>
        </w:rPr>
        <w:t xml:space="preserve">ir, galimai, kitais susijusiais </w:t>
      </w:r>
      <w:r w:rsidRPr="007076C9">
        <w:rPr>
          <w:rFonts w:ascii="Times New Roman" w:hAnsi="Times New Roman"/>
          <w:sz w:val="24"/>
        </w:rPr>
        <w:t xml:space="preserve">klausimais ir aplinkybėmis. </w:t>
      </w:r>
      <w:r w:rsidR="005B6F60" w:rsidRPr="007076C9">
        <w:rPr>
          <w:rFonts w:ascii="Times New Roman" w:hAnsi="Times New Roman"/>
          <w:sz w:val="24"/>
        </w:rPr>
        <w:t xml:space="preserve">Esant poreikiui, asociacija pasirengusi detaliau aptarti </w:t>
      </w:r>
      <w:r w:rsidR="00CA1193">
        <w:rPr>
          <w:rFonts w:ascii="Times New Roman" w:hAnsi="Times New Roman"/>
          <w:sz w:val="24"/>
        </w:rPr>
        <w:t>Įstatymo pataisų</w:t>
      </w:r>
      <w:r w:rsidR="005B6F60" w:rsidRPr="007076C9">
        <w:rPr>
          <w:rFonts w:ascii="Times New Roman" w:hAnsi="Times New Roman"/>
          <w:sz w:val="24"/>
        </w:rPr>
        <w:t xml:space="preserve"> įgyvendinimo praktinius aspektus atskirame pasitarime. </w:t>
      </w:r>
    </w:p>
    <w:p w14:paraId="7D9D655B" w14:textId="77777777" w:rsidR="005B6F60" w:rsidRPr="007076C9" w:rsidRDefault="005B6F60" w:rsidP="00A13EA7">
      <w:pPr>
        <w:spacing w:after="0" w:line="360" w:lineRule="auto"/>
        <w:ind w:firstLine="1296"/>
        <w:jc w:val="both"/>
        <w:rPr>
          <w:rFonts w:ascii="Times New Roman" w:hAnsi="Times New Roman"/>
          <w:sz w:val="24"/>
        </w:rPr>
      </w:pPr>
    </w:p>
    <w:p w14:paraId="0138CBDA" w14:textId="7AF12084" w:rsidR="001800E4" w:rsidRPr="007076C9" w:rsidRDefault="001800E4" w:rsidP="00A13EA7">
      <w:pPr>
        <w:spacing w:after="0"/>
        <w:jc w:val="both"/>
        <w:rPr>
          <w:rFonts w:ascii="Times New Roman" w:hAnsi="Times New Roman"/>
          <w:sz w:val="24"/>
        </w:rPr>
      </w:pPr>
    </w:p>
    <w:p w14:paraId="0F795C3F" w14:textId="3DD4984E" w:rsidR="001800E4" w:rsidRPr="007076C9" w:rsidRDefault="001800E4" w:rsidP="001800E4">
      <w:pPr>
        <w:spacing w:after="0"/>
        <w:ind w:firstLine="1296"/>
        <w:jc w:val="both"/>
        <w:rPr>
          <w:rFonts w:ascii="Times New Roman" w:hAnsi="Times New Roman"/>
          <w:sz w:val="24"/>
        </w:rPr>
      </w:pPr>
    </w:p>
    <w:p w14:paraId="1FE3C3C0" w14:textId="7FD9674D" w:rsidR="001800E4" w:rsidRPr="007076C9" w:rsidRDefault="001800E4" w:rsidP="001800E4">
      <w:pPr>
        <w:spacing w:after="0"/>
        <w:ind w:firstLine="1296"/>
        <w:jc w:val="both"/>
        <w:rPr>
          <w:rFonts w:ascii="Times New Roman" w:hAnsi="Times New Roman"/>
          <w:sz w:val="24"/>
        </w:rPr>
      </w:pPr>
    </w:p>
    <w:p w14:paraId="525CEAE9" w14:textId="77777777" w:rsidR="001800E4" w:rsidRPr="007076C9" w:rsidRDefault="001800E4" w:rsidP="001800E4">
      <w:pPr>
        <w:spacing w:after="0"/>
        <w:ind w:firstLine="1296"/>
        <w:jc w:val="both"/>
        <w:rPr>
          <w:rFonts w:ascii="Times New Roman" w:hAnsi="Times New Roman"/>
          <w:sz w:val="24"/>
        </w:rPr>
      </w:pPr>
    </w:p>
    <w:p w14:paraId="30AAFACD" w14:textId="43C6F5D4" w:rsidR="001800E4" w:rsidRPr="007076C9" w:rsidRDefault="001800E4" w:rsidP="001800E4">
      <w:pPr>
        <w:spacing w:line="240" w:lineRule="auto"/>
        <w:ind w:firstLine="1296"/>
        <w:rPr>
          <w:rFonts w:ascii="Times New Roman" w:hAnsi="Times New Roman" w:cs="Times New Roman"/>
          <w:sz w:val="24"/>
          <w:szCs w:val="24"/>
        </w:rPr>
      </w:pPr>
      <w:r w:rsidRPr="007076C9">
        <w:rPr>
          <w:rFonts w:ascii="Times New Roman" w:hAnsi="Times New Roman" w:cs="Times New Roman"/>
          <w:sz w:val="24"/>
          <w:szCs w:val="24"/>
        </w:rPr>
        <w:t xml:space="preserve">Asociacijos prezidentas </w:t>
      </w:r>
      <w:r w:rsidRPr="007076C9">
        <w:rPr>
          <w:rFonts w:ascii="Times New Roman" w:hAnsi="Times New Roman" w:cs="Times New Roman"/>
          <w:sz w:val="24"/>
          <w:szCs w:val="24"/>
        </w:rPr>
        <w:tab/>
      </w:r>
      <w:r w:rsidRPr="007076C9">
        <w:rPr>
          <w:rFonts w:ascii="Times New Roman" w:hAnsi="Times New Roman" w:cs="Times New Roman"/>
          <w:sz w:val="24"/>
          <w:szCs w:val="24"/>
        </w:rPr>
        <w:tab/>
        <w:t xml:space="preserve">         dr. Valdas Lukoševičius</w:t>
      </w:r>
    </w:p>
    <w:p w14:paraId="2A6459C0" w14:textId="77777777" w:rsidR="001800E4" w:rsidRPr="007076C9" w:rsidRDefault="001800E4" w:rsidP="001800E4">
      <w:pPr>
        <w:spacing w:line="240" w:lineRule="auto"/>
        <w:rPr>
          <w:rFonts w:ascii="Times New Roman" w:hAnsi="Times New Roman" w:cs="Times New Roman"/>
          <w:sz w:val="24"/>
          <w:szCs w:val="24"/>
        </w:rPr>
      </w:pPr>
    </w:p>
    <w:p w14:paraId="66D3D4F8" w14:textId="77777777" w:rsidR="001800E4" w:rsidRPr="007076C9" w:rsidRDefault="001800E4" w:rsidP="001800E4">
      <w:pPr>
        <w:spacing w:line="240" w:lineRule="auto"/>
        <w:rPr>
          <w:rFonts w:ascii="Times New Roman" w:hAnsi="Times New Roman" w:cs="Times New Roman"/>
          <w:sz w:val="24"/>
          <w:szCs w:val="24"/>
        </w:rPr>
      </w:pPr>
    </w:p>
    <w:p w14:paraId="679E0D1A" w14:textId="77777777" w:rsidR="001800E4" w:rsidRPr="007076C9" w:rsidRDefault="001800E4" w:rsidP="001800E4">
      <w:pPr>
        <w:spacing w:line="240" w:lineRule="auto"/>
        <w:rPr>
          <w:rFonts w:ascii="Times New Roman" w:hAnsi="Times New Roman" w:cs="Times New Roman"/>
          <w:sz w:val="24"/>
          <w:szCs w:val="24"/>
        </w:rPr>
      </w:pPr>
    </w:p>
    <w:p w14:paraId="4EAD198B" w14:textId="61B9C74E" w:rsidR="007076C9" w:rsidRDefault="007076C9" w:rsidP="001800E4">
      <w:pPr>
        <w:spacing w:line="240" w:lineRule="auto"/>
        <w:rPr>
          <w:rFonts w:ascii="Times New Roman" w:hAnsi="Times New Roman" w:cs="Times New Roman"/>
          <w:sz w:val="24"/>
          <w:szCs w:val="24"/>
        </w:rPr>
      </w:pPr>
    </w:p>
    <w:p w14:paraId="2F1FE510" w14:textId="77777777" w:rsidR="007076C9" w:rsidRPr="007076C9" w:rsidRDefault="007076C9" w:rsidP="001800E4">
      <w:pPr>
        <w:spacing w:line="240" w:lineRule="auto"/>
        <w:rPr>
          <w:rFonts w:ascii="Times New Roman" w:hAnsi="Times New Roman" w:cs="Times New Roman"/>
          <w:sz w:val="24"/>
          <w:szCs w:val="24"/>
        </w:rPr>
      </w:pPr>
    </w:p>
    <w:p w14:paraId="2C0FC4FC" w14:textId="77777777" w:rsidR="001800E4" w:rsidRPr="007076C9" w:rsidRDefault="001800E4" w:rsidP="001800E4">
      <w:pPr>
        <w:spacing w:line="240" w:lineRule="auto"/>
        <w:rPr>
          <w:rFonts w:ascii="Times New Roman" w:hAnsi="Times New Roman" w:cs="Times New Roman"/>
          <w:sz w:val="24"/>
          <w:szCs w:val="24"/>
        </w:rPr>
      </w:pPr>
    </w:p>
    <w:p w14:paraId="7404B942" w14:textId="77777777" w:rsidR="001800E4" w:rsidRPr="007076C9" w:rsidRDefault="001800E4" w:rsidP="001800E4">
      <w:pPr>
        <w:spacing w:line="240" w:lineRule="auto"/>
        <w:rPr>
          <w:rFonts w:ascii="Times New Roman" w:hAnsi="Times New Roman" w:cs="Times New Roman"/>
          <w:sz w:val="24"/>
          <w:szCs w:val="24"/>
        </w:rPr>
      </w:pPr>
    </w:p>
    <w:p w14:paraId="07C1CB90" w14:textId="3D92DE7D" w:rsidR="001800E4" w:rsidRPr="00D63D30" w:rsidRDefault="001800E4" w:rsidP="00A13EA7">
      <w:pPr>
        <w:spacing w:line="240" w:lineRule="auto"/>
        <w:jc w:val="both"/>
        <w:rPr>
          <w:rFonts w:ascii="Times New Roman" w:hAnsi="Times New Roman" w:cs="Times New Roman"/>
          <w:sz w:val="24"/>
          <w:szCs w:val="24"/>
        </w:rPr>
      </w:pPr>
      <w:r w:rsidRPr="007076C9">
        <w:rPr>
          <w:rFonts w:ascii="Times New Roman" w:hAnsi="Times New Roman" w:cs="Times New Roman"/>
          <w:sz w:val="24"/>
          <w:szCs w:val="24"/>
        </w:rPr>
        <w:t xml:space="preserve">M. Paulauskas, tel. (85) 266 7096, el. p. </w:t>
      </w:r>
      <w:hyperlink r:id="rId9" w:history="1">
        <w:r w:rsidRPr="007076C9">
          <w:rPr>
            <w:rStyle w:val="Hyperlink"/>
            <w:rFonts w:ascii="Times New Roman" w:hAnsi="Times New Roman" w:cs="Times New Roman"/>
            <w:sz w:val="24"/>
            <w:szCs w:val="24"/>
          </w:rPr>
          <w:t>mantas@lsta.lt</w:t>
        </w:r>
      </w:hyperlink>
      <w:r>
        <w:rPr>
          <w:rFonts w:ascii="Times New Roman" w:hAnsi="Times New Roman" w:cs="Times New Roman"/>
          <w:sz w:val="24"/>
          <w:szCs w:val="24"/>
        </w:rPr>
        <w:t xml:space="preserve"> </w:t>
      </w:r>
    </w:p>
    <w:sectPr w:rsidR="001800E4" w:rsidRPr="00D63D30" w:rsidSect="0005510C">
      <w:pgSz w:w="11906" w:h="16838"/>
      <w:pgMar w:top="851" w:right="851" w:bottom="851" w:left="1418"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Gotham Book">
    <w:altName w:val="Calibri"/>
    <w:charset w:val="BA"/>
    <w:family w:val="roman"/>
    <w:pitch w:val="variable"/>
  </w:font>
  <w:font w:name="Gotham Pro Regular">
    <w:altName w:val="Calibri"/>
    <w:panose1 w:val="00000000000000000000"/>
    <w:charset w:val="00"/>
    <w:family w:val="roman"/>
    <w:notTrueType/>
    <w:pitch w:val="default"/>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003374"/>
    <w:multiLevelType w:val="hybridMultilevel"/>
    <w:tmpl w:val="7D56CCFA"/>
    <w:lvl w:ilvl="0" w:tplc="9312A8FC">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9039505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5C5"/>
    <w:rsid w:val="00013E82"/>
    <w:rsid w:val="0005510C"/>
    <w:rsid w:val="000606B3"/>
    <w:rsid w:val="000C097D"/>
    <w:rsid w:val="001800E4"/>
    <w:rsid w:val="00210763"/>
    <w:rsid w:val="002F537A"/>
    <w:rsid w:val="003B4F74"/>
    <w:rsid w:val="00457F14"/>
    <w:rsid w:val="004B59B0"/>
    <w:rsid w:val="005B6F60"/>
    <w:rsid w:val="005E008A"/>
    <w:rsid w:val="00671118"/>
    <w:rsid w:val="0068193E"/>
    <w:rsid w:val="007076C9"/>
    <w:rsid w:val="007E0F91"/>
    <w:rsid w:val="007F655E"/>
    <w:rsid w:val="00840A34"/>
    <w:rsid w:val="00875441"/>
    <w:rsid w:val="0097684F"/>
    <w:rsid w:val="00A13EA7"/>
    <w:rsid w:val="00A657E5"/>
    <w:rsid w:val="00AA278C"/>
    <w:rsid w:val="00AF7662"/>
    <w:rsid w:val="00B145C5"/>
    <w:rsid w:val="00B2183D"/>
    <w:rsid w:val="00C56949"/>
    <w:rsid w:val="00C95315"/>
    <w:rsid w:val="00CA1193"/>
    <w:rsid w:val="00D63D30"/>
    <w:rsid w:val="00DA303A"/>
    <w:rsid w:val="00E704D2"/>
    <w:rsid w:val="00F145ED"/>
    <w:rsid w:val="00F72F4C"/>
    <w:rsid w:val="00FF057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561B0"/>
  <w15:chartTrackingRefBased/>
  <w15:docId w15:val="{6DA59C4B-A438-4F47-9978-21E7E0BE6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t-LT"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5C5"/>
    <w:pPr>
      <w:spacing w:after="200" w:line="276" w:lineRule="auto"/>
    </w:pPr>
    <w:rPr>
      <w:rFonts w:asciiTheme="minorHAnsi" w:hAnsiTheme="minorHAnsi"/>
      <w:sz w:val="22"/>
    </w:rPr>
  </w:style>
  <w:style w:type="paragraph" w:styleId="Heading1">
    <w:name w:val="heading 1"/>
    <w:basedOn w:val="Normal"/>
    <w:next w:val="Normal"/>
    <w:link w:val="Heading1Char"/>
    <w:qFormat/>
    <w:rsid w:val="00B145C5"/>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45C5"/>
    <w:rPr>
      <w:rFonts w:eastAsia="Times New Roman" w:cs="Times New Roman"/>
      <w:szCs w:val="20"/>
    </w:rPr>
  </w:style>
  <w:style w:type="paragraph" w:styleId="Footer">
    <w:name w:val="footer"/>
    <w:basedOn w:val="Normal"/>
    <w:link w:val="FooterChar"/>
    <w:uiPriority w:val="99"/>
    <w:unhideWhenUsed/>
    <w:rsid w:val="00B145C5"/>
    <w:pPr>
      <w:tabs>
        <w:tab w:val="center" w:pos="4819"/>
        <w:tab w:val="right" w:pos="9638"/>
      </w:tabs>
      <w:spacing w:after="0" w:line="240" w:lineRule="auto"/>
    </w:pPr>
  </w:style>
  <w:style w:type="character" w:customStyle="1" w:styleId="FooterChar">
    <w:name w:val="Footer Char"/>
    <w:basedOn w:val="DefaultParagraphFont"/>
    <w:link w:val="Footer"/>
    <w:uiPriority w:val="99"/>
    <w:rsid w:val="00B145C5"/>
    <w:rPr>
      <w:rFonts w:asciiTheme="minorHAnsi" w:hAnsiTheme="minorHAnsi"/>
      <w:sz w:val="22"/>
    </w:rPr>
  </w:style>
  <w:style w:type="table" w:styleId="TableGrid">
    <w:name w:val="Table Grid"/>
    <w:basedOn w:val="TableNormal"/>
    <w:uiPriority w:val="59"/>
    <w:rsid w:val="00B145C5"/>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63D30"/>
    <w:rPr>
      <w:color w:val="0563C1" w:themeColor="hyperlink"/>
      <w:u w:val="single"/>
    </w:rPr>
  </w:style>
  <w:style w:type="character" w:styleId="UnresolvedMention">
    <w:name w:val="Unresolved Mention"/>
    <w:basedOn w:val="DefaultParagraphFont"/>
    <w:uiPriority w:val="99"/>
    <w:semiHidden/>
    <w:unhideWhenUsed/>
    <w:rsid w:val="00D63D30"/>
    <w:rPr>
      <w:color w:val="605E5C"/>
      <w:shd w:val="clear" w:color="auto" w:fill="E1DFDD"/>
    </w:rPr>
  </w:style>
  <w:style w:type="paragraph" w:styleId="ListParagraph">
    <w:name w:val="List Paragraph"/>
    <w:basedOn w:val="Normal"/>
    <w:uiPriority w:val="34"/>
    <w:qFormat/>
    <w:rsid w:val="00F145ED"/>
    <w:pPr>
      <w:ind w:left="720"/>
      <w:contextualSpacing/>
    </w:pPr>
  </w:style>
  <w:style w:type="character" w:styleId="CommentReference">
    <w:name w:val="annotation reference"/>
    <w:basedOn w:val="DefaultParagraphFont"/>
    <w:uiPriority w:val="99"/>
    <w:semiHidden/>
    <w:unhideWhenUsed/>
    <w:rsid w:val="00E704D2"/>
    <w:rPr>
      <w:sz w:val="16"/>
      <w:szCs w:val="16"/>
    </w:rPr>
  </w:style>
  <w:style w:type="paragraph" w:styleId="CommentText">
    <w:name w:val="annotation text"/>
    <w:basedOn w:val="Normal"/>
    <w:link w:val="CommentTextChar"/>
    <w:uiPriority w:val="99"/>
    <w:unhideWhenUsed/>
    <w:rsid w:val="00E704D2"/>
    <w:pPr>
      <w:spacing w:line="240" w:lineRule="auto"/>
    </w:pPr>
    <w:rPr>
      <w:sz w:val="20"/>
      <w:szCs w:val="20"/>
    </w:rPr>
  </w:style>
  <w:style w:type="character" w:customStyle="1" w:styleId="CommentTextChar">
    <w:name w:val="Comment Text Char"/>
    <w:basedOn w:val="DefaultParagraphFont"/>
    <w:link w:val="CommentText"/>
    <w:uiPriority w:val="99"/>
    <w:rsid w:val="00E704D2"/>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E704D2"/>
    <w:rPr>
      <w:b/>
      <w:bCs/>
    </w:rPr>
  </w:style>
  <w:style w:type="character" w:customStyle="1" w:styleId="CommentSubjectChar">
    <w:name w:val="Comment Subject Char"/>
    <w:basedOn w:val="CommentTextChar"/>
    <w:link w:val="CommentSubject"/>
    <w:uiPriority w:val="99"/>
    <w:semiHidden/>
    <w:rsid w:val="00E704D2"/>
    <w:rPr>
      <w:rFonts w:asciiTheme="minorHAnsi" w:hAnsiTheme="minorHAnsi"/>
      <w:b/>
      <w:bCs/>
      <w:sz w:val="20"/>
      <w:szCs w:val="20"/>
    </w:rPr>
  </w:style>
  <w:style w:type="paragraph" w:styleId="Revision">
    <w:name w:val="Revision"/>
    <w:hidden/>
    <w:uiPriority w:val="99"/>
    <w:semiHidden/>
    <w:rsid w:val="00B2183D"/>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474591">
      <w:bodyDiv w:val="1"/>
      <w:marLeft w:val="0"/>
      <w:marRight w:val="0"/>
      <w:marTop w:val="0"/>
      <w:marBottom w:val="0"/>
      <w:divBdr>
        <w:top w:val="none" w:sz="0" w:space="0" w:color="auto"/>
        <w:left w:val="none" w:sz="0" w:space="0" w:color="auto"/>
        <w:bottom w:val="none" w:sz="0" w:space="0" w:color="auto"/>
        <w:right w:val="none" w:sz="0" w:space="0" w:color="auto"/>
      </w:divBdr>
    </w:div>
    <w:div w:id="197455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customXml" Target="ink/ink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ntas@lsta.lt"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5-12T08:16:55.669"/>
    </inkml:context>
    <inkml:brush xml:id="br0">
      <inkml:brushProperty name="width" value="0.05" units="cm"/>
      <inkml:brushProperty name="height" value="0.05" units="cm"/>
    </inkml:brush>
  </inkml:definitions>
  <inkml:trace contextRef="#ctx0" brushRef="#br0">0 1 24575</inkml:trace>
</inkml:ink>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9B6522-6A0B-4708-99C7-222DA7108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6966</Words>
  <Characters>3971</Characters>
  <Application>Microsoft Office Word</Application>
  <DocSecurity>0</DocSecurity>
  <Lines>33</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Mantas</dc:creator>
  <cp:keywords/>
  <dc:description/>
  <cp:lastModifiedBy>Lietuvos šilumos tiekėjų asociacija</cp:lastModifiedBy>
  <cp:revision>2</cp:revision>
  <dcterms:created xsi:type="dcterms:W3CDTF">2022-05-12T08:36:00Z</dcterms:created>
  <dcterms:modified xsi:type="dcterms:W3CDTF">2022-05-12T08:36:00Z</dcterms:modified>
</cp:coreProperties>
</file>