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58E9" w14:textId="2477ED34" w:rsidR="00F72F4C" w:rsidRPr="00055C14" w:rsidRDefault="00C16A98">
      <w:pPr>
        <w:rPr>
          <w:b/>
          <w:szCs w:val="24"/>
        </w:rPr>
      </w:pPr>
      <w:bookmarkStart w:id="0" w:name="_Hlk101876130"/>
      <w:r w:rsidRPr="00055C14">
        <w:rPr>
          <w:b/>
          <w:sz w:val="32"/>
        </w:rPr>
        <w:t>20</w:t>
      </w:r>
      <w:r w:rsidR="00A5041B" w:rsidRPr="00055C14">
        <w:rPr>
          <w:b/>
          <w:sz w:val="32"/>
        </w:rPr>
        <w:t>2</w:t>
      </w:r>
      <w:r w:rsidR="00DD7DED" w:rsidRPr="00055C14">
        <w:rPr>
          <w:b/>
          <w:sz w:val="32"/>
        </w:rPr>
        <w:t>1</w:t>
      </w:r>
      <w:r w:rsidRPr="00055C14">
        <w:rPr>
          <w:b/>
          <w:sz w:val="32"/>
        </w:rPr>
        <w:t>/20</w:t>
      </w:r>
      <w:r w:rsidR="002B7289" w:rsidRPr="00055C14">
        <w:rPr>
          <w:b/>
          <w:sz w:val="32"/>
        </w:rPr>
        <w:t>2</w:t>
      </w:r>
      <w:r w:rsidR="00DD7DED" w:rsidRPr="00055C14">
        <w:rPr>
          <w:b/>
          <w:sz w:val="32"/>
        </w:rPr>
        <w:t>2</w:t>
      </w:r>
      <w:r w:rsidRPr="00055C14">
        <w:rPr>
          <w:b/>
          <w:sz w:val="32"/>
        </w:rPr>
        <w:t xml:space="preserve"> metų šildymo sezon</w:t>
      </w:r>
      <w:r w:rsidR="00C0090F" w:rsidRPr="00055C14">
        <w:rPr>
          <w:b/>
          <w:sz w:val="32"/>
        </w:rPr>
        <w:t>ui besibaigiant</w:t>
      </w:r>
      <w:bookmarkEnd w:id="0"/>
      <w:r w:rsidR="00CA79E4" w:rsidRPr="00055C14">
        <w:rPr>
          <w:b/>
          <w:sz w:val="32"/>
        </w:rPr>
        <w:t xml:space="preserve"> </w:t>
      </w:r>
      <w:r w:rsidR="00225613" w:rsidRPr="00055C14">
        <w:rPr>
          <w:b/>
          <w:sz w:val="32"/>
        </w:rPr>
        <w:br/>
      </w:r>
    </w:p>
    <w:p w14:paraId="367616A7" w14:textId="3E020EAA" w:rsidR="00C16A98" w:rsidRDefault="00792709" w:rsidP="00792709">
      <w:pPr>
        <w:jc w:val="right"/>
      </w:pPr>
      <w:r>
        <w:t xml:space="preserve">Ramunė Gurklienė </w:t>
      </w:r>
    </w:p>
    <w:p w14:paraId="6FF960FA" w14:textId="55551B75" w:rsidR="00792709" w:rsidRPr="00055C14" w:rsidRDefault="00792709" w:rsidP="00792709">
      <w:pPr>
        <w:jc w:val="right"/>
      </w:pPr>
      <w:r>
        <w:t>Lietuvos šilumos tiekėjų asociacija</w:t>
      </w:r>
    </w:p>
    <w:p w14:paraId="7360A2D5" w14:textId="2351A962" w:rsidR="00EE19C2" w:rsidRPr="00055C14" w:rsidRDefault="00EE19C2"/>
    <w:p w14:paraId="080544A7" w14:textId="5527EE54" w:rsidR="000F44BC" w:rsidRPr="00055C14" w:rsidRDefault="00055C14" w:rsidP="00F82EA1">
      <w:pPr>
        <w:jc w:val="both"/>
      </w:pPr>
      <w:r>
        <w:t>Besibaigiantis</w:t>
      </w:r>
      <w:r w:rsidR="000F44BC" w:rsidRPr="00055C14">
        <w:t xml:space="preserve"> šildymo </w:t>
      </w:r>
      <w:r w:rsidR="000F44BC" w:rsidRPr="00055C14">
        <w:rPr>
          <w:b/>
          <w:bCs/>
        </w:rPr>
        <w:t xml:space="preserve">sezonas </w:t>
      </w:r>
      <w:r>
        <w:rPr>
          <w:b/>
          <w:bCs/>
        </w:rPr>
        <w:t>yra</w:t>
      </w:r>
      <w:r w:rsidR="000F44BC" w:rsidRPr="00055C14">
        <w:rPr>
          <w:b/>
          <w:bCs/>
        </w:rPr>
        <w:t xml:space="preserve"> išskirtinis</w:t>
      </w:r>
      <w:r w:rsidR="000F44BC" w:rsidRPr="00055C14">
        <w:t>. Dar rudenį pradėjusios drastiškai didėti gamtinių dujų</w:t>
      </w:r>
      <w:r w:rsidR="00730112" w:rsidRPr="00055C14">
        <w:t>,</w:t>
      </w:r>
      <w:r w:rsidR="000F44BC" w:rsidRPr="00055C14">
        <w:t xml:space="preserve"> </w:t>
      </w:r>
      <w:r w:rsidR="0090374B" w:rsidRPr="00055C14">
        <w:t>elektros</w:t>
      </w:r>
      <w:r w:rsidR="00730112" w:rsidRPr="00055C14">
        <w:t xml:space="preserve"> kainos</w:t>
      </w:r>
      <w:r w:rsidR="0090374B" w:rsidRPr="00055C14">
        <w:t xml:space="preserve">, </w:t>
      </w:r>
      <w:r w:rsidR="000F44BC" w:rsidRPr="00055C14">
        <w:t xml:space="preserve">o iš paskos </w:t>
      </w:r>
      <w:r>
        <w:t xml:space="preserve">– </w:t>
      </w:r>
      <w:r w:rsidR="000F44BC" w:rsidRPr="00055C14">
        <w:t>ir biokur</w:t>
      </w:r>
      <w:r>
        <w:t>o</w:t>
      </w:r>
      <w:r w:rsidR="0090374B" w:rsidRPr="00055C14">
        <w:t>, lėmė, kad tiek šilumos vartotojai, tiek ir šilumos tiekėjai susidūrė su anksčiau ne</w:t>
      </w:r>
      <w:r>
        <w:t>būta</w:t>
      </w:r>
      <w:r w:rsidR="0090374B" w:rsidRPr="00055C14">
        <w:t xml:space="preserve"> situacija ir visi patyrė didelių finansinių nuostolių. Dabar paaiškėjo, kad besiruošdama karui, Rusija dirbtinai sukėlė gamtinių dujų deficitą Europoje, dėl kurio jų </w:t>
      </w:r>
      <w:r w:rsidR="0090374B" w:rsidRPr="00055C14">
        <w:rPr>
          <w:b/>
          <w:bCs/>
        </w:rPr>
        <w:t>kainos pakilo apie 5 kartus</w:t>
      </w:r>
      <w:r w:rsidR="0090374B" w:rsidRPr="00055C14">
        <w:t xml:space="preserve">, o atskirais laikotarpiais </w:t>
      </w:r>
      <w:r w:rsidR="0090374B" w:rsidRPr="00055C14">
        <w:rPr>
          <w:b/>
          <w:bCs/>
        </w:rPr>
        <w:t>kainų šuolis siekė net 10 kartų</w:t>
      </w:r>
      <w:r w:rsidR="0090374B" w:rsidRPr="00055C14">
        <w:t xml:space="preserve">! Tai lėmė ir </w:t>
      </w:r>
      <w:r w:rsidR="002B5247" w:rsidRPr="00055C14">
        <w:t xml:space="preserve">reikšmingą elektros kainų šuolį bei visų kitų prekių ar paslaugų kainas. Infliacija pasiekė dviženklius skaičius. Visa tai net negalėjo būti įvertinta dabar veikiančioje </w:t>
      </w:r>
      <w:r w:rsidR="005517D9" w:rsidRPr="00055C14">
        <w:t xml:space="preserve">reguliuojamų </w:t>
      </w:r>
      <w:r w:rsidR="002B5247" w:rsidRPr="00055C14">
        <w:t xml:space="preserve">šilumos kainų nustatymo metodikoje, kuri nėra pritaikyta tokiems </w:t>
      </w:r>
      <w:r w:rsidR="005517D9" w:rsidRPr="00055C14">
        <w:t xml:space="preserve">radikaliems </w:t>
      </w:r>
      <w:r w:rsidR="002B5247" w:rsidRPr="00055C14">
        <w:t xml:space="preserve">pokyčiams. Pavyzdžiui, padidėjusios elektros ir kitų </w:t>
      </w:r>
      <w:r w:rsidR="005517D9" w:rsidRPr="00055C14">
        <w:t xml:space="preserve">daiktų pirkimo </w:t>
      </w:r>
      <w:r w:rsidR="002B5247" w:rsidRPr="00055C14">
        <w:t>išlaidos net nebus įskaičiuotos</w:t>
      </w:r>
      <w:r w:rsidR="005517D9" w:rsidRPr="00055C14">
        <w:t xml:space="preserve"> į šilumos kainas. Dėl pajamų neatitikimo sąnaudoms</w:t>
      </w:r>
      <w:r>
        <w:t>,</w:t>
      </w:r>
      <w:r w:rsidR="005517D9" w:rsidRPr="00055C14">
        <w:t xml:space="preserve"> šilumos gamintojai buvo priversti skolintis didžiules sumas apyvartinių lėšų, kurių palūkanos niekada nebus įskaičiuotos į šilumos kainas</w:t>
      </w:r>
      <w:r w:rsidR="00730112" w:rsidRPr="00055C14">
        <w:t xml:space="preserve">. </w:t>
      </w:r>
      <w:r w:rsidR="005517D9" w:rsidRPr="00055C14">
        <w:t>Taigi</w:t>
      </w:r>
      <w:r w:rsidR="00730112" w:rsidRPr="00055C14">
        <w:t>,</w:t>
      </w:r>
      <w:r w:rsidR="005517D9" w:rsidRPr="00055C14">
        <w:t xml:space="preserve"> praėjęs šildymo sezonas buvo labai nepalankus tiek šilumos vartotojams, tiek jos gamintojams. </w:t>
      </w:r>
      <w:r w:rsidR="002B5247" w:rsidRPr="00055C14">
        <w:t xml:space="preserve"> </w:t>
      </w:r>
      <w:r w:rsidR="0090374B" w:rsidRPr="00055C14">
        <w:t xml:space="preserve">         </w:t>
      </w:r>
      <w:r w:rsidR="000F44BC" w:rsidRPr="00055C14">
        <w:t xml:space="preserve">  </w:t>
      </w:r>
    </w:p>
    <w:p w14:paraId="7F292E0A" w14:textId="77777777" w:rsidR="000F44BC" w:rsidRPr="00055C14" w:rsidRDefault="000F44BC" w:rsidP="00F82EA1">
      <w:pPr>
        <w:jc w:val="both"/>
      </w:pPr>
    </w:p>
    <w:p w14:paraId="1B8937BE" w14:textId="77EEDFAF" w:rsidR="00730112" w:rsidRPr="00055C14" w:rsidRDefault="00E3155C" w:rsidP="00055C14">
      <w:pPr>
        <w:jc w:val="both"/>
      </w:pPr>
      <w:r w:rsidRPr="00055C14">
        <w:t>Situacija galėjo būti dar blogesnė, jeigu būtų buvusi atšiauri žiema, o tada nepakankant biokuro</w:t>
      </w:r>
      <w:r w:rsidR="00E16AA2" w:rsidRPr="00055C14">
        <w:t xml:space="preserve"> katilų galios</w:t>
      </w:r>
      <w:r w:rsidRPr="00055C14">
        <w:t xml:space="preserve">, būtų buvę įjungta daugiau </w:t>
      </w:r>
      <w:proofErr w:type="spellStart"/>
      <w:r w:rsidRPr="00055C14">
        <w:t>pikinių</w:t>
      </w:r>
      <w:proofErr w:type="spellEnd"/>
      <w:r w:rsidRPr="00055C14">
        <w:t xml:space="preserve"> katilų, kurie degina gamtines dujas kelis kartus brangesnes negu biokuras</w:t>
      </w:r>
      <w:r w:rsidR="009C6A8A" w:rsidRPr="00055C14">
        <w:t xml:space="preserve"> </w:t>
      </w:r>
    </w:p>
    <w:p w14:paraId="5329A742" w14:textId="77777777" w:rsidR="009C6A8A" w:rsidRPr="00055C14" w:rsidRDefault="009C6A8A" w:rsidP="00F82EA1">
      <w:pPr>
        <w:jc w:val="both"/>
      </w:pPr>
    </w:p>
    <w:p w14:paraId="7145BBFF" w14:textId="57596DB8" w:rsidR="00E16AA2" w:rsidRPr="00055C14" w:rsidRDefault="00E16AA2" w:rsidP="00F82EA1">
      <w:pPr>
        <w:jc w:val="both"/>
      </w:pPr>
      <w:r w:rsidRPr="00055C14">
        <w:t xml:space="preserve">Ši žiema įtikinamai parodė, kad miestai, kurie šilumos gamybai dar naudoja didelę dalį gamtinių dujų, </w:t>
      </w:r>
      <w:r w:rsidR="000A078A" w:rsidRPr="00055C14">
        <w:t>pavyzdžiui</w:t>
      </w:r>
      <w:r w:rsidR="00730112" w:rsidRPr="00055C14">
        <w:t>,</w:t>
      </w:r>
      <w:r w:rsidR="000A078A" w:rsidRPr="00055C14">
        <w:t xml:space="preserve"> Vilniu</w:t>
      </w:r>
      <w:r w:rsidR="00055C14">
        <w:t>s</w:t>
      </w:r>
      <w:r w:rsidR="000A078A" w:rsidRPr="00055C14">
        <w:t xml:space="preserve">, </w:t>
      </w:r>
      <w:r w:rsidRPr="00055C14">
        <w:t xml:space="preserve">buvo priversti šilumą pardavinėti aukštomis kainomis. </w:t>
      </w:r>
      <w:r w:rsidR="000A078A" w:rsidRPr="00055C14">
        <w:t xml:space="preserve">Pačios aukščiausios šilumos kainos buvo mažuose miesteliuose, kuriuose šilumos gamybai naudojamos vien tik </w:t>
      </w:r>
      <w:r w:rsidRPr="00055C14">
        <w:t>gamtin</w:t>
      </w:r>
      <w:r w:rsidR="000A078A" w:rsidRPr="00055C14">
        <w:t xml:space="preserve">ės </w:t>
      </w:r>
      <w:r w:rsidRPr="00055C14">
        <w:t>duj</w:t>
      </w:r>
      <w:r w:rsidR="000A078A" w:rsidRPr="00055C14">
        <w:t xml:space="preserve">os, o vartotojų tankis mažas. Dėl </w:t>
      </w:r>
      <w:r w:rsidR="00055C14">
        <w:t xml:space="preserve">šių </w:t>
      </w:r>
      <w:r w:rsidR="000A078A" w:rsidRPr="00055C14">
        <w:t>priežasčių</w:t>
      </w:r>
      <w:r w:rsidR="00055C14">
        <w:t>,</w:t>
      </w:r>
      <w:r w:rsidR="000A078A" w:rsidRPr="00055C14">
        <w:t xml:space="preserve"> šiluma buvo brangiausia Vilniaus rajono miesteliuose.  </w:t>
      </w:r>
      <w:r w:rsidRPr="00055C14">
        <w:t xml:space="preserve">    </w:t>
      </w:r>
      <w:r w:rsidR="00E3155C" w:rsidRPr="00055C14">
        <w:t xml:space="preserve">      </w:t>
      </w:r>
    </w:p>
    <w:p w14:paraId="1473BF5F" w14:textId="0791793C" w:rsidR="000F44BC" w:rsidRPr="00055C14" w:rsidRDefault="000F44BC" w:rsidP="00F82EA1">
      <w:pPr>
        <w:jc w:val="both"/>
      </w:pPr>
      <w:r w:rsidRPr="00055C14">
        <w:t xml:space="preserve">  </w:t>
      </w:r>
    </w:p>
    <w:p w14:paraId="703AEBBF" w14:textId="69CF76BD" w:rsidR="00F82EA1" w:rsidRPr="00055C14" w:rsidRDefault="00F82EA1" w:rsidP="00F82EA1">
      <w:pPr>
        <w:jc w:val="both"/>
      </w:pPr>
      <w:r w:rsidRPr="00055C14">
        <w:t xml:space="preserve">Klimato faktorius, darantis didžiausią įtaką šilumos suvartojimui, yra išorės oro temperatūra, kurios vidutinės mėnesinės reikšmės pavaizduotos </w:t>
      </w:r>
      <w:r w:rsidR="009C6A8A" w:rsidRPr="00055C14">
        <w:t xml:space="preserve"> </w:t>
      </w:r>
      <w:r w:rsidR="00055C14">
        <w:t>1</w:t>
      </w:r>
      <w:r w:rsidR="009C6A8A" w:rsidRPr="00055C14">
        <w:t xml:space="preserve"> </w:t>
      </w:r>
      <w:r w:rsidRPr="00055C14">
        <w:t xml:space="preserve">paveiksle. </w:t>
      </w:r>
    </w:p>
    <w:p w14:paraId="76FEDDA8" w14:textId="397C8145" w:rsidR="00F82EA1" w:rsidRPr="00055C14" w:rsidRDefault="00DC77C9" w:rsidP="00E16AA2">
      <w:pPr>
        <w:tabs>
          <w:tab w:val="left" w:pos="450"/>
        </w:tabs>
        <w:ind w:left="-90"/>
        <w:jc w:val="center"/>
      </w:pPr>
      <w:r w:rsidRPr="00055C14">
        <w:rPr>
          <w:noProof/>
        </w:rPr>
        <w:drawing>
          <wp:inline distT="0" distB="0" distL="0" distR="0" wp14:anchorId="78781266" wp14:editId="32636B42">
            <wp:extent cx="4333164" cy="2595762"/>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5"/>
                    <a:stretch>
                      <a:fillRect/>
                    </a:stretch>
                  </pic:blipFill>
                  <pic:spPr>
                    <a:xfrm>
                      <a:off x="0" y="0"/>
                      <a:ext cx="4347076" cy="2604096"/>
                    </a:xfrm>
                    <a:prstGeom prst="rect">
                      <a:avLst/>
                    </a:prstGeom>
                  </pic:spPr>
                </pic:pic>
              </a:graphicData>
            </a:graphic>
          </wp:inline>
        </w:drawing>
      </w:r>
    </w:p>
    <w:p w14:paraId="6F289061" w14:textId="1565F17F" w:rsidR="001D0562" w:rsidRPr="00055C14" w:rsidRDefault="00DC77C9" w:rsidP="00DC77C9">
      <w:pPr>
        <w:spacing w:after="240"/>
        <w:ind w:left="5184" w:right="425" w:firstLine="1296"/>
        <w:rPr>
          <w:rFonts w:cs="Times New Roman"/>
          <w:i/>
          <w:iCs/>
          <w:sz w:val="18"/>
          <w:szCs w:val="18"/>
        </w:rPr>
      </w:pPr>
      <w:r w:rsidRPr="00055C14">
        <w:rPr>
          <w:rFonts w:cs="Times New Roman"/>
          <w:i/>
          <w:iCs/>
          <w:sz w:val="18"/>
          <w:szCs w:val="18"/>
        </w:rPr>
        <w:t xml:space="preserve">Šaltinis: </w:t>
      </w:r>
      <w:proofErr w:type="spellStart"/>
      <w:r w:rsidRPr="00055C14">
        <w:rPr>
          <w:rFonts w:cs="Times New Roman"/>
          <w:i/>
          <w:iCs/>
          <w:sz w:val="18"/>
          <w:szCs w:val="18"/>
        </w:rPr>
        <w:t>meteo.lt</w:t>
      </w:r>
      <w:proofErr w:type="spellEnd"/>
      <w:r w:rsidRPr="00055C14">
        <w:rPr>
          <w:rFonts w:cs="Times New Roman"/>
          <w:i/>
          <w:iCs/>
          <w:sz w:val="18"/>
          <w:szCs w:val="18"/>
        </w:rPr>
        <w:t xml:space="preserve"> </w:t>
      </w:r>
    </w:p>
    <w:p w14:paraId="08C8BCB1" w14:textId="3E4E9DE3" w:rsidR="009C6A8A" w:rsidRDefault="00055C14" w:rsidP="009C6A8A">
      <w:pPr>
        <w:ind w:left="-284" w:right="425"/>
        <w:jc w:val="center"/>
        <w:rPr>
          <w:szCs w:val="24"/>
        </w:rPr>
      </w:pPr>
      <w:r>
        <w:rPr>
          <w:szCs w:val="24"/>
        </w:rPr>
        <w:t>1</w:t>
      </w:r>
      <w:r w:rsidR="009C6A8A" w:rsidRPr="00055C14">
        <w:rPr>
          <w:szCs w:val="24"/>
        </w:rPr>
        <w:t xml:space="preserve"> pav. </w:t>
      </w:r>
      <w:r>
        <w:rPr>
          <w:szCs w:val="24"/>
        </w:rPr>
        <w:t>Temperatūrų grafikas</w:t>
      </w:r>
    </w:p>
    <w:p w14:paraId="504A65F8" w14:textId="77777777" w:rsidR="00055C14" w:rsidRPr="00055C14" w:rsidRDefault="00055C14" w:rsidP="009C6A8A">
      <w:pPr>
        <w:ind w:left="-284" w:right="425"/>
        <w:jc w:val="center"/>
        <w:rPr>
          <w:szCs w:val="24"/>
        </w:rPr>
      </w:pPr>
    </w:p>
    <w:p w14:paraId="3C2F8C52" w14:textId="663FAAF2" w:rsidR="007E1F09" w:rsidRPr="00055C14" w:rsidRDefault="00334FF4" w:rsidP="002A2032">
      <w:pPr>
        <w:ind w:left="-284" w:right="425"/>
        <w:jc w:val="both"/>
        <w:rPr>
          <w:szCs w:val="24"/>
        </w:rPr>
      </w:pPr>
      <w:r w:rsidRPr="00055C14">
        <w:rPr>
          <w:szCs w:val="24"/>
        </w:rPr>
        <w:t>Kaip matyti</w:t>
      </w:r>
      <w:r w:rsidR="00055C14">
        <w:rPr>
          <w:szCs w:val="24"/>
        </w:rPr>
        <w:t>,</w:t>
      </w:r>
      <w:r w:rsidR="002A2032" w:rsidRPr="00055C14">
        <w:rPr>
          <w:szCs w:val="24"/>
        </w:rPr>
        <w:t xml:space="preserve"> šalčiausiais mėnesiais temperatūra buvo kiek aukštesnė negu daugiametis vidurkis arba prieš tai buvusią žiemą. Taigi, švelnesnė šių metų žiema mažino šildymo sąskaitų dydį. </w:t>
      </w:r>
      <w:r w:rsidR="007E1F09" w:rsidRPr="00055C14">
        <w:rPr>
          <w:szCs w:val="24"/>
        </w:rPr>
        <w:t>Vertinant išorės temperatūros įtaką šilumos suvartojimui, laikoma, kad šis poveikis proporcingas vidaus ir išorės temperatūrų skirtumui. Tai svarbiausias kriterijus, tačiau įtakos gali turėti vėjas, drėgnumas</w:t>
      </w:r>
      <w:r w:rsidR="00771159" w:rsidRPr="00055C14">
        <w:rPr>
          <w:szCs w:val="24"/>
        </w:rPr>
        <w:t xml:space="preserve">, pastato geometrija, vietovė </w:t>
      </w:r>
      <w:r w:rsidR="007E1F09" w:rsidRPr="00055C14">
        <w:rPr>
          <w:szCs w:val="24"/>
        </w:rPr>
        <w:t xml:space="preserve"> ir t.t. </w:t>
      </w:r>
      <w:r w:rsidR="00771159" w:rsidRPr="00055C14">
        <w:rPr>
          <w:szCs w:val="24"/>
        </w:rPr>
        <w:t xml:space="preserve">Todėl </w:t>
      </w:r>
      <w:r w:rsidR="007E1F09" w:rsidRPr="00055C14">
        <w:rPr>
          <w:szCs w:val="24"/>
        </w:rPr>
        <w:t xml:space="preserve">sąskaitos </w:t>
      </w:r>
      <w:r w:rsidR="00055C14">
        <w:rPr>
          <w:szCs w:val="24"/>
        </w:rPr>
        <w:t xml:space="preserve">už šildymą </w:t>
      </w:r>
      <w:r w:rsidR="007E1F09" w:rsidRPr="00055C14">
        <w:rPr>
          <w:szCs w:val="24"/>
        </w:rPr>
        <w:t xml:space="preserve">kiekviename </w:t>
      </w:r>
      <w:r w:rsidR="00771159" w:rsidRPr="00055C14">
        <w:rPr>
          <w:szCs w:val="24"/>
        </w:rPr>
        <w:t xml:space="preserve">to paties miesto </w:t>
      </w:r>
      <w:r w:rsidR="007E1F09" w:rsidRPr="00055C14">
        <w:rPr>
          <w:szCs w:val="24"/>
        </w:rPr>
        <w:t xml:space="preserve">pastate </w:t>
      </w:r>
      <w:r w:rsidR="00771159" w:rsidRPr="00055C14">
        <w:rPr>
          <w:szCs w:val="24"/>
        </w:rPr>
        <w:lastRenderedPageBreak/>
        <w:t>gali skirtis kelis kartus</w:t>
      </w:r>
      <w:r w:rsidR="00055C14">
        <w:rPr>
          <w:szCs w:val="24"/>
        </w:rPr>
        <w:t>,</w:t>
      </w:r>
      <w:r w:rsidR="00771159" w:rsidRPr="00055C14">
        <w:rPr>
          <w:szCs w:val="24"/>
        </w:rPr>
        <w:t xml:space="preserve"> </w:t>
      </w:r>
      <w:r w:rsidR="007E1F09" w:rsidRPr="00055C14">
        <w:rPr>
          <w:szCs w:val="24"/>
        </w:rPr>
        <w:t xml:space="preserve">priklausomai nuo jo tipo ir būklės. Vidutinis šilumos suvartojimas Lietuvos pastatuose priklausomai nuo išorės temperatūros pateikiamas </w:t>
      </w:r>
      <w:r w:rsidR="00055C14">
        <w:rPr>
          <w:szCs w:val="24"/>
        </w:rPr>
        <w:t>2</w:t>
      </w:r>
      <w:r w:rsidR="009C6A8A" w:rsidRPr="00055C14">
        <w:rPr>
          <w:szCs w:val="24"/>
        </w:rPr>
        <w:t xml:space="preserve"> pav.</w:t>
      </w:r>
    </w:p>
    <w:p w14:paraId="78EF2E36" w14:textId="338DEDD7" w:rsidR="007E1F09" w:rsidRPr="00055C14" w:rsidRDefault="00055C14" w:rsidP="007E1F09">
      <w:pPr>
        <w:jc w:val="both"/>
      </w:pPr>
      <w:r>
        <w:rPr>
          <w:noProof/>
          <w:szCs w:val="24"/>
        </w:rPr>
        <w:t>`</w:t>
      </w:r>
      <w:r w:rsidR="007E1F09" w:rsidRPr="00055C14">
        <w:rPr>
          <w:noProof/>
          <w:szCs w:val="24"/>
        </w:rPr>
        <w:drawing>
          <wp:inline distT="0" distB="0" distL="0" distR="0" wp14:anchorId="5C76875C" wp14:editId="12DF487E">
            <wp:extent cx="5372735" cy="2932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4766"/>
                    <a:stretch/>
                  </pic:blipFill>
                  <pic:spPr bwMode="auto">
                    <a:xfrm>
                      <a:off x="0" y="0"/>
                      <a:ext cx="5372735" cy="2932430"/>
                    </a:xfrm>
                    <a:prstGeom prst="rect">
                      <a:avLst/>
                    </a:prstGeom>
                    <a:noFill/>
                    <a:ln>
                      <a:noFill/>
                    </a:ln>
                    <a:extLst>
                      <a:ext uri="{53640926-AAD7-44D8-BBD7-CCE9431645EC}">
                        <a14:shadowObscured xmlns:a14="http://schemas.microsoft.com/office/drawing/2010/main"/>
                      </a:ext>
                    </a:extLst>
                  </pic:spPr>
                </pic:pic>
              </a:graphicData>
            </a:graphic>
          </wp:inline>
        </w:drawing>
      </w:r>
    </w:p>
    <w:p w14:paraId="79C6051E" w14:textId="094CF918" w:rsidR="009C6A8A" w:rsidRPr="00055C14" w:rsidRDefault="00055C14" w:rsidP="009C6A8A">
      <w:pPr>
        <w:jc w:val="center"/>
      </w:pPr>
      <w:r>
        <w:t>2</w:t>
      </w:r>
      <w:r w:rsidR="009C6A8A" w:rsidRPr="00055C14">
        <w:t xml:space="preserve"> pav. Šilumos suvartojim</w:t>
      </w:r>
      <w:r w:rsidR="00D55F93" w:rsidRPr="00055C14">
        <w:t>o</w:t>
      </w:r>
      <w:r w:rsidR="009C6A8A" w:rsidRPr="00055C14">
        <w:t xml:space="preserve"> pastatuose tiesiogi</w:t>
      </w:r>
      <w:r w:rsidR="00D55F93" w:rsidRPr="00055C14">
        <w:t>nė priklausomybė nuo lauko oro temperatūros</w:t>
      </w:r>
    </w:p>
    <w:p w14:paraId="54B96FAA" w14:textId="511209DC" w:rsidR="00D55F93" w:rsidRDefault="00D55F93" w:rsidP="009C6A8A">
      <w:pPr>
        <w:jc w:val="center"/>
      </w:pPr>
    </w:p>
    <w:p w14:paraId="3C111E08" w14:textId="77777777" w:rsidR="00F826CD" w:rsidRPr="00055C14" w:rsidRDefault="00F826CD" w:rsidP="009C6A8A">
      <w:pPr>
        <w:jc w:val="center"/>
      </w:pPr>
    </w:p>
    <w:p w14:paraId="4C160953" w14:textId="153B4C5A" w:rsidR="00A5041B" w:rsidRPr="00055C14" w:rsidRDefault="00A5041B" w:rsidP="007E1F09">
      <w:pPr>
        <w:jc w:val="both"/>
      </w:pPr>
      <w:r w:rsidRPr="00055C14">
        <w:t>Žinoma, tai yra labai apytikslės reikšmės, nes</w:t>
      </w:r>
      <w:r w:rsidR="00055C14">
        <w:t>, kaip jau minėta,</w:t>
      </w:r>
      <w:r w:rsidRPr="00055C14">
        <w:t xml:space="preserve"> šildymo sąnaudoms turi įtakos ir </w:t>
      </w:r>
      <w:proofErr w:type="spellStart"/>
      <w:r w:rsidRPr="00055C14">
        <w:t>vėjuotumas</w:t>
      </w:r>
      <w:proofErr w:type="spellEnd"/>
      <w:r w:rsidRPr="00055C14">
        <w:t xml:space="preserve">, drėgnumas, pastato orientacija pasaulio šalių atžvilgiu ir daugelis kitų faktorių. </w:t>
      </w:r>
      <w:r w:rsidR="00055C14">
        <w:t>D</w:t>
      </w:r>
      <w:r w:rsidRPr="00055C14">
        <w:t xml:space="preserve">alis pastatuose suvartojamos šilumos praktiškai nepriklauso nuo klimato sąlygų, pavyzdžiui, </w:t>
      </w:r>
      <w:r w:rsidR="00055C14">
        <w:t>šiluma,</w:t>
      </w:r>
      <w:r w:rsidRPr="00055C14">
        <w:t xml:space="preserve"> suvartota karštam vandeniui ruošti ar jo temperatūrai palaikyti. Dalis šilumos, kuri suvartojama patalpų vidaus temperatūrai palaikyti, taip pat skiriasi kie</w:t>
      </w:r>
      <w:r w:rsidR="00DA0543" w:rsidRPr="00055C14">
        <w:t>k</w:t>
      </w:r>
      <w:r w:rsidRPr="00055C14">
        <w:t>viename pastate ir sudaro apie 70-80 % visos</w:t>
      </w:r>
      <w:r w:rsidR="00C02F5D" w:rsidRPr="00055C14">
        <w:t xml:space="preserve">, </w:t>
      </w:r>
      <w:r w:rsidRPr="00055C14">
        <w:t>į pastatą patekusios</w:t>
      </w:r>
      <w:r w:rsidR="00C02F5D" w:rsidRPr="00055C14">
        <w:t>,</w:t>
      </w:r>
      <w:r w:rsidRPr="00055C14">
        <w:t xml:space="preserve"> šilumos. Todėl faktinis šilumos suvartojimas kiekviename pastate labai individualus ir skirtingas. </w:t>
      </w:r>
    </w:p>
    <w:p w14:paraId="6B5BACC4" w14:textId="77B9DBF7" w:rsidR="00A5041B" w:rsidRDefault="00A5041B" w:rsidP="00A5041B">
      <w:pPr>
        <w:rPr>
          <w:b/>
        </w:rPr>
      </w:pPr>
    </w:p>
    <w:p w14:paraId="0F47B36F" w14:textId="77777777" w:rsidR="00F826CD" w:rsidRPr="00055C14" w:rsidRDefault="00F826CD" w:rsidP="00A5041B">
      <w:pPr>
        <w:rPr>
          <w:b/>
        </w:rPr>
      </w:pPr>
    </w:p>
    <w:p w14:paraId="36FFBFE8" w14:textId="77777777" w:rsidR="00A5041B" w:rsidRPr="00055C14" w:rsidRDefault="00A5041B" w:rsidP="00A5041B">
      <w:pPr>
        <w:rPr>
          <w:b/>
        </w:rPr>
      </w:pPr>
      <w:r w:rsidRPr="00055C14">
        <w:rPr>
          <w:b/>
        </w:rPr>
        <w:t>Atskirų šildymo sezonų temperatūrų palyginimas (</w:t>
      </w:r>
      <w:proofErr w:type="spellStart"/>
      <w:r w:rsidRPr="00055C14">
        <w:rPr>
          <w:b/>
          <w:vertAlign w:val="superscript"/>
        </w:rPr>
        <w:t>o</w:t>
      </w:r>
      <w:r w:rsidRPr="00055C14">
        <w:rPr>
          <w:b/>
        </w:rPr>
        <w:t>C</w:t>
      </w:r>
      <w:proofErr w:type="spellEnd"/>
      <w:r w:rsidRPr="00055C14">
        <w:rPr>
          <w:b/>
        </w:rPr>
        <w:t>)</w:t>
      </w:r>
    </w:p>
    <w:tbl>
      <w:tblPr>
        <w:tblStyle w:val="TableGrid"/>
        <w:tblW w:w="0" w:type="auto"/>
        <w:tblLook w:val="04A0" w:firstRow="1" w:lastRow="0" w:firstColumn="1" w:lastColumn="0" w:noHBand="0" w:noVBand="1"/>
      </w:tblPr>
      <w:tblGrid>
        <w:gridCol w:w="2695"/>
        <w:gridCol w:w="2118"/>
        <w:gridCol w:w="1136"/>
        <w:gridCol w:w="1271"/>
        <w:gridCol w:w="1190"/>
        <w:gridCol w:w="1217"/>
      </w:tblGrid>
      <w:tr w:rsidR="00A5041B" w:rsidRPr="00055C14" w14:paraId="575C7CB7" w14:textId="77777777" w:rsidTr="00146BC3">
        <w:tc>
          <w:tcPr>
            <w:tcW w:w="2695" w:type="dxa"/>
            <w:vMerge w:val="restart"/>
          </w:tcPr>
          <w:p w14:paraId="0C7205EB" w14:textId="77777777" w:rsidR="00A5041B" w:rsidRPr="00055C14" w:rsidRDefault="00A5041B" w:rsidP="00146BC3">
            <w:pPr>
              <w:rPr>
                <w:b/>
                <w:i/>
                <w:sz w:val="20"/>
                <w:szCs w:val="20"/>
              </w:rPr>
            </w:pPr>
            <w:r w:rsidRPr="00055C14">
              <w:rPr>
                <w:b/>
                <w:i/>
                <w:sz w:val="20"/>
                <w:szCs w:val="20"/>
              </w:rPr>
              <w:t>Mėnuo</w:t>
            </w:r>
          </w:p>
        </w:tc>
        <w:tc>
          <w:tcPr>
            <w:tcW w:w="2118" w:type="dxa"/>
            <w:vMerge w:val="restart"/>
          </w:tcPr>
          <w:p w14:paraId="0D59CBA9" w14:textId="77777777" w:rsidR="00A5041B" w:rsidRPr="00055C14" w:rsidRDefault="00A5041B" w:rsidP="00146BC3">
            <w:pPr>
              <w:rPr>
                <w:b/>
                <w:i/>
                <w:sz w:val="20"/>
                <w:szCs w:val="20"/>
              </w:rPr>
            </w:pPr>
            <w:r w:rsidRPr="00055C14">
              <w:rPr>
                <w:b/>
                <w:i/>
                <w:sz w:val="20"/>
                <w:szCs w:val="20"/>
              </w:rPr>
              <w:t xml:space="preserve">Daugiametė vidutinė </w:t>
            </w:r>
          </w:p>
          <w:p w14:paraId="48E6CA37" w14:textId="77777777" w:rsidR="00A5041B" w:rsidRPr="00055C14" w:rsidRDefault="00A5041B" w:rsidP="00146BC3">
            <w:pPr>
              <w:rPr>
                <w:b/>
                <w:i/>
                <w:sz w:val="20"/>
                <w:szCs w:val="20"/>
              </w:rPr>
            </w:pPr>
            <w:r w:rsidRPr="00055C14">
              <w:rPr>
                <w:b/>
                <w:i/>
                <w:sz w:val="20"/>
                <w:szCs w:val="20"/>
              </w:rPr>
              <w:t>mėnesio temperatūra</w:t>
            </w:r>
          </w:p>
        </w:tc>
        <w:tc>
          <w:tcPr>
            <w:tcW w:w="2407" w:type="dxa"/>
            <w:gridSpan w:val="2"/>
          </w:tcPr>
          <w:p w14:paraId="58E8862E" w14:textId="14F4FB99" w:rsidR="00A5041B" w:rsidRPr="00055C14" w:rsidRDefault="00E84641" w:rsidP="00146BC3">
            <w:pPr>
              <w:jc w:val="center"/>
              <w:rPr>
                <w:b/>
                <w:i/>
                <w:sz w:val="20"/>
                <w:szCs w:val="20"/>
              </w:rPr>
            </w:pPr>
            <w:r w:rsidRPr="00055C14">
              <w:rPr>
                <w:b/>
                <w:i/>
                <w:sz w:val="20"/>
                <w:szCs w:val="20"/>
              </w:rPr>
              <w:t xml:space="preserve">2020/2021 </w:t>
            </w:r>
            <w:r w:rsidR="004820AA" w:rsidRPr="00055C14">
              <w:rPr>
                <w:b/>
                <w:i/>
                <w:sz w:val="20"/>
                <w:szCs w:val="20"/>
              </w:rPr>
              <w:t>šildymo sezonas</w:t>
            </w:r>
          </w:p>
        </w:tc>
        <w:tc>
          <w:tcPr>
            <w:tcW w:w="2407" w:type="dxa"/>
            <w:gridSpan w:val="2"/>
          </w:tcPr>
          <w:p w14:paraId="126CB231" w14:textId="14970E37" w:rsidR="004820AA" w:rsidRPr="00055C14" w:rsidRDefault="00E84641" w:rsidP="004820AA">
            <w:pPr>
              <w:jc w:val="center"/>
              <w:rPr>
                <w:b/>
              </w:rPr>
            </w:pPr>
            <w:r w:rsidRPr="00055C14">
              <w:rPr>
                <w:b/>
                <w:i/>
                <w:sz w:val="20"/>
                <w:szCs w:val="20"/>
              </w:rPr>
              <w:t>2021/2022 šildymo sezonas</w:t>
            </w:r>
          </w:p>
          <w:p w14:paraId="6B70899F" w14:textId="51B553FE" w:rsidR="00A5041B" w:rsidRPr="00055C14" w:rsidRDefault="00A5041B" w:rsidP="00146BC3">
            <w:pPr>
              <w:jc w:val="center"/>
              <w:rPr>
                <w:b/>
                <w:i/>
                <w:sz w:val="20"/>
                <w:szCs w:val="20"/>
              </w:rPr>
            </w:pPr>
          </w:p>
        </w:tc>
      </w:tr>
      <w:tr w:rsidR="00A5041B" w:rsidRPr="00055C14" w14:paraId="0E50CAF8" w14:textId="77777777" w:rsidTr="00146BC3">
        <w:tc>
          <w:tcPr>
            <w:tcW w:w="2695" w:type="dxa"/>
            <w:vMerge/>
          </w:tcPr>
          <w:p w14:paraId="12295E50" w14:textId="77777777" w:rsidR="00A5041B" w:rsidRPr="00055C14" w:rsidRDefault="00A5041B" w:rsidP="00146BC3">
            <w:pPr>
              <w:rPr>
                <w:b/>
                <w:i/>
                <w:sz w:val="20"/>
                <w:szCs w:val="20"/>
              </w:rPr>
            </w:pPr>
          </w:p>
        </w:tc>
        <w:tc>
          <w:tcPr>
            <w:tcW w:w="2118" w:type="dxa"/>
            <w:vMerge/>
          </w:tcPr>
          <w:p w14:paraId="5813D0C5" w14:textId="77777777" w:rsidR="00A5041B" w:rsidRPr="00055C14" w:rsidRDefault="00A5041B" w:rsidP="00146BC3">
            <w:pPr>
              <w:rPr>
                <w:b/>
                <w:i/>
                <w:sz w:val="20"/>
                <w:szCs w:val="20"/>
              </w:rPr>
            </w:pPr>
          </w:p>
        </w:tc>
        <w:tc>
          <w:tcPr>
            <w:tcW w:w="1136" w:type="dxa"/>
          </w:tcPr>
          <w:p w14:paraId="0B3CE7C4" w14:textId="77777777" w:rsidR="00A5041B" w:rsidRPr="00055C14" w:rsidRDefault="00A5041B" w:rsidP="00146BC3">
            <w:pPr>
              <w:jc w:val="center"/>
              <w:rPr>
                <w:b/>
                <w:bCs/>
                <w:i/>
                <w:sz w:val="22"/>
                <w:szCs w:val="20"/>
              </w:rPr>
            </w:pPr>
            <w:r w:rsidRPr="00055C14">
              <w:rPr>
                <w:b/>
                <w:bCs/>
              </w:rPr>
              <w:t>2020</w:t>
            </w:r>
          </w:p>
        </w:tc>
        <w:tc>
          <w:tcPr>
            <w:tcW w:w="1271" w:type="dxa"/>
          </w:tcPr>
          <w:p w14:paraId="3A9407A5" w14:textId="77777777" w:rsidR="00A5041B" w:rsidRPr="00055C14" w:rsidRDefault="00A5041B" w:rsidP="00146BC3">
            <w:pPr>
              <w:jc w:val="center"/>
              <w:rPr>
                <w:b/>
                <w:bCs/>
                <w:i/>
                <w:sz w:val="22"/>
                <w:szCs w:val="20"/>
              </w:rPr>
            </w:pPr>
            <w:r w:rsidRPr="00055C14">
              <w:rPr>
                <w:b/>
                <w:bCs/>
              </w:rPr>
              <w:t>2021</w:t>
            </w:r>
          </w:p>
        </w:tc>
        <w:tc>
          <w:tcPr>
            <w:tcW w:w="1190" w:type="dxa"/>
          </w:tcPr>
          <w:p w14:paraId="5BF61CAE" w14:textId="5694E335" w:rsidR="00A5041B" w:rsidRPr="00055C14" w:rsidRDefault="00A5041B" w:rsidP="00146BC3">
            <w:pPr>
              <w:jc w:val="center"/>
              <w:rPr>
                <w:b/>
                <w:bCs/>
                <w:iCs/>
                <w:sz w:val="22"/>
                <w:szCs w:val="20"/>
              </w:rPr>
            </w:pPr>
            <w:r w:rsidRPr="00055C14">
              <w:rPr>
                <w:b/>
                <w:bCs/>
                <w:iCs/>
                <w:sz w:val="22"/>
                <w:szCs w:val="20"/>
              </w:rPr>
              <w:t>20</w:t>
            </w:r>
            <w:r w:rsidR="00E84641" w:rsidRPr="00055C14">
              <w:rPr>
                <w:b/>
                <w:bCs/>
                <w:iCs/>
                <w:sz w:val="22"/>
                <w:szCs w:val="20"/>
              </w:rPr>
              <w:t>21</w:t>
            </w:r>
          </w:p>
        </w:tc>
        <w:tc>
          <w:tcPr>
            <w:tcW w:w="1217" w:type="dxa"/>
          </w:tcPr>
          <w:p w14:paraId="0BB733F4" w14:textId="4ACA6990" w:rsidR="00A5041B" w:rsidRPr="00055C14" w:rsidRDefault="00A5041B" w:rsidP="00146BC3">
            <w:pPr>
              <w:jc w:val="center"/>
              <w:rPr>
                <w:b/>
                <w:bCs/>
                <w:iCs/>
                <w:sz w:val="22"/>
                <w:szCs w:val="20"/>
              </w:rPr>
            </w:pPr>
            <w:r w:rsidRPr="00055C14">
              <w:rPr>
                <w:b/>
                <w:bCs/>
                <w:iCs/>
                <w:sz w:val="22"/>
                <w:szCs w:val="20"/>
              </w:rPr>
              <w:t>202</w:t>
            </w:r>
            <w:r w:rsidR="00E84641" w:rsidRPr="00055C14">
              <w:rPr>
                <w:b/>
                <w:bCs/>
                <w:iCs/>
                <w:sz w:val="22"/>
                <w:szCs w:val="20"/>
              </w:rPr>
              <w:t>2</w:t>
            </w:r>
          </w:p>
        </w:tc>
      </w:tr>
      <w:tr w:rsidR="00A5041B" w:rsidRPr="00055C14" w14:paraId="42B85F6D" w14:textId="77777777" w:rsidTr="00146BC3">
        <w:tc>
          <w:tcPr>
            <w:tcW w:w="2695" w:type="dxa"/>
          </w:tcPr>
          <w:p w14:paraId="4C874FD4" w14:textId="77777777" w:rsidR="00A5041B" w:rsidRPr="00055C14" w:rsidRDefault="00A5041B" w:rsidP="00146BC3">
            <w:r w:rsidRPr="00055C14">
              <w:t>Lapkritis</w:t>
            </w:r>
          </w:p>
        </w:tc>
        <w:tc>
          <w:tcPr>
            <w:tcW w:w="2118" w:type="dxa"/>
          </w:tcPr>
          <w:p w14:paraId="7E0E59A5" w14:textId="77777777" w:rsidR="00A5041B" w:rsidRPr="00055C14" w:rsidRDefault="00A5041B" w:rsidP="00055C14">
            <w:pPr>
              <w:jc w:val="center"/>
            </w:pPr>
            <w:r w:rsidRPr="00055C14">
              <w:t>+1,9</w:t>
            </w:r>
          </w:p>
        </w:tc>
        <w:tc>
          <w:tcPr>
            <w:tcW w:w="1136" w:type="dxa"/>
          </w:tcPr>
          <w:p w14:paraId="079202C9" w14:textId="421CA979" w:rsidR="00A5041B" w:rsidRPr="00055C14" w:rsidRDefault="00FD2799" w:rsidP="00055C14">
            <w:pPr>
              <w:jc w:val="center"/>
            </w:pPr>
            <w:r w:rsidRPr="00055C14">
              <w:t>+5,3</w:t>
            </w:r>
          </w:p>
        </w:tc>
        <w:tc>
          <w:tcPr>
            <w:tcW w:w="1271" w:type="dxa"/>
          </w:tcPr>
          <w:p w14:paraId="0781859B" w14:textId="6566BD74" w:rsidR="00A5041B" w:rsidRPr="00055C14" w:rsidRDefault="00A5041B" w:rsidP="00055C14">
            <w:pPr>
              <w:jc w:val="center"/>
            </w:pPr>
          </w:p>
        </w:tc>
        <w:tc>
          <w:tcPr>
            <w:tcW w:w="1190" w:type="dxa"/>
          </w:tcPr>
          <w:p w14:paraId="0EEF41B6" w14:textId="51B038AB" w:rsidR="00A5041B" w:rsidRPr="00055C14" w:rsidRDefault="00A5041B" w:rsidP="00055C14">
            <w:pPr>
              <w:jc w:val="center"/>
              <w:rPr>
                <w:iCs/>
              </w:rPr>
            </w:pPr>
            <w:r w:rsidRPr="00055C14">
              <w:rPr>
                <w:iCs/>
              </w:rPr>
              <w:t>+4,</w:t>
            </w:r>
            <w:r w:rsidR="003475FA" w:rsidRPr="00055C14">
              <w:rPr>
                <w:iCs/>
              </w:rPr>
              <w:t>0</w:t>
            </w:r>
          </w:p>
        </w:tc>
        <w:tc>
          <w:tcPr>
            <w:tcW w:w="1217" w:type="dxa"/>
          </w:tcPr>
          <w:p w14:paraId="0BB891A7" w14:textId="77777777" w:rsidR="00A5041B" w:rsidRPr="00055C14" w:rsidRDefault="00A5041B" w:rsidP="00055C14">
            <w:pPr>
              <w:jc w:val="center"/>
              <w:rPr>
                <w:iCs/>
              </w:rPr>
            </w:pPr>
          </w:p>
        </w:tc>
      </w:tr>
      <w:tr w:rsidR="00A5041B" w:rsidRPr="00055C14" w14:paraId="07167B84" w14:textId="77777777" w:rsidTr="00146BC3">
        <w:tc>
          <w:tcPr>
            <w:tcW w:w="2695" w:type="dxa"/>
          </w:tcPr>
          <w:p w14:paraId="3631B56F" w14:textId="77777777" w:rsidR="00A5041B" w:rsidRPr="00055C14" w:rsidRDefault="00A5041B" w:rsidP="00146BC3">
            <w:r w:rsidRPr="00055C14">
              <w:t>Gruodis</w:t>
            </w:r>
          </w:p>
        </w:tc>
        <w:tc>
          <w:tcPr>
            <w:tcW w:w="2118" w:type="dxa"/>
          </w:tcPr>
          <w:p w14:paraId="2C0A3F30" w14:textId="77777777" w:rsidR="00A5041B" w:rsidRPr="00055C14" w:rsidRDefault="00A5041B" w:rsidP="00055C14">
            <w:pPr>
              <w:jc w:val="center"/>
            </w:pPr>
            <w:r w:rsidRPr="00055C14">
              <w:t>-1,8</w:t>
            </w:r>
          </w:p>
        </w:tc>
        <w:tc>
          <w:tcPr>
            <w:tcW w:w="1136" w:type="dxa"/>
          </w:tcPr>
          <w:p w14:paraId="2026E271" w14:textId="344D19D9" w:rsidR="00A5041B" w:rsidRPr="00055C14" w:rsidRDefault="00A5041B" w:rsidP="00055C14">
            <w:pPr>
              <w:jc w:val="center"/>
            </w:pPr>
            <w:r w:rsidRPr="00055C14">
              <w:t>+</w:t>
            </w:r>
            <w:r w:rsidR="00FD2799" w:rsidRPr="00055C14">
              <w:t>0</w:t>
            </w:r>
            <w:r w:rsidR="0021212A" w:rsidRPr="00055C14">
              <w:t>,3</w:t>
            </w:r>
          </w:p>
        </w:tc>
        <w:tc>
          <w:tcPr>
            <w:tcW w:w="1271" w:type="dxa"/>
          </w:tcPr>
          <w:p w14:paraId="0EC9BFE7" w14:textId="77777777" w:rsidR="00A5041B" w:rsidRPr="00055C14" w:rsidRDefault="00A5041B" w:rsidP="00055C14">
            <w:pPr>
              <w:jc w:val="center"/>
            </w:pPr>
          </w:p>
        </w:tc>
        <w:tc>
          <w:tcPr>
            <w:tcW w:w="1190" w:type="dxa"/>
          </w:tcPr>
          <w:p w14:paraId="6CD3B2E5" w14:textId="5CA6C2B3" w:rsidR="00A5041B" w:rsidRPr="00055C14" w:rsidRDefault="00B86DE4" w:rsidP="00055C14">
            <w:pPr>
              <w:jc w:val="center"/>
              <w:rPr>
                <w:iCs/>
              </w:rPr>
            </w:pPr>
            <w:r w:rsidRPr="00055C14">
              <w:rPr>
                <w:iCs/>
              </w:rPr>
              <w:t>-3,3</w:t>
            </w:r>
          </w:p>
        </w:tc>
        <w:tc>
          <w:tcPr>
            <w:tcW w:w="1217" w:type="dxa"/>
          </w:tcPr>
          <w:p w14:paraId="1082DAF4" w14:textId="77777777" w:rsidR="00A5041B" w:rsidRPr="00055C14" w:rsidRDefault="00A5041B" w:rsidP="00055C14">
            <w:pPr>
              <w:jc w:val="center"/>
              <w:rPr>
                <w:iCs/>
              </w:rPr>
            </w:pPr>
          </w:p>
        </w:tc>
      </w:tr>
      <w:tr w:rsidR="00A5041B" w:rsidRPr="00055C14" w14:paraId="56A98212" w14:textId="77777777" w:rsidTr="00146BC3">
        <w:tc>
          <w:tcPr>
            <w:tcW w:w="2695" w:type="dxa"/>
          </w:tcPr>
          <w:p w14:paraId="048D2543" w14:textId="77777777" w:rsidR="00A5041B" w:rsidRPr="00055C14" w:rsidRDefault="00A5041B" w:rsidP="00146BC3">
            <w:r w:rsidRPr="00055C14">
              <w:t>Sausis</w:t>
            </w:r>
          </w:p>
        </w:tc>
        <w:tc>
          <w:tcPr>
            <w:tcW w:w="2118" w:type="dxa"/>
          </w:tcPr>
          <w:p w14:paraId="35DB388F" w14:textId="77777777" w:rsidR="00A5041B" w:rsidRPr="00055C14" w:rsidRDefault="00A5041B" w:rsidP="00055C14">
            <w:pPr>
              <w:jc w:val="center"/>
            </w:pPr>
            <w:r w:rsidRPr="00055C14">
              <w:t>-3,2</w:t>
            </w:r>
          </w:p>
        </w:tc>
        <w:tc>
          <w:tcPr>
            <w:tcW w:w="1136" w:type="dxa"/>
          </w:tcPr>
          <w:p w14:paraId="361588C9" w14:textId="713DD227" w:rsidR="00A5041B" w:rsidRPr="00055C14" w:rsidRDefault="00A5041B" w:rsidP="00055C14">
            <w:pPr>
              <w:jc w:val="center"/>
            </w:pPr>
          </w:p>
        </w:tc>
        <w:tc>
          <w:tcPr>
            <w:tcW w:w="1271" w:type="dxa"/>
          </w:tcPr>
          <w:p w14:paraId="732D61C1" w14:textId="6520B5D1" w:rsidR="00A5041B" w:rsidRPr="00055C14" w:rsidRDefault="006A07D8" w:rsidP="00055C14">
            <w:pPr>
              <w:jc w:val="center"/>
            </w:pPr>
            <w:r w:rsidRPr="00055C14">
              <w:t>-3,3</w:t>
            </w:r>
          </w:p>
        </w:tc>
        <w:tc>
          <w:tcPr>
            <w:tcW w:w="1190" w:type="dxa"/>
          </w:tcPr>
          <w:p w14:paraId="2F0C280B" w14:textId="77777777" w:rsidR="00A5041B" w:rsidRPr="00055C14" w:rsidRDefault="00A5041B" w:rsidP="00055C14">
            <w:pPr>
              <w:jc w:val="center"/>
              <w:rPr>
                <w:iCs/>
              </w:rPr>
            </w:pPr>
          </w:p>
        </w:tc>
        <w:tc>
          <w:tcPr>
            <w:tcW w:w="1217" w:type="dxa"/>
          </w:tcPr>
          <w:p w14:paraId="0068FC73" w14:textId="42AF31A5" w:rsidR="00A5041B" w:rsidRPr="00055C14" w:rsidRDefault="006A07D8" w:rsidP="00055C14">
            <w:pPr>
              <w:jc w:val="center"/>
              <w:rPr>
                <w:iCs/>
              </w:rPr>
            </w:pPr>
            <w:r w:rsidRPr="00055C14">
              <w:rPr>
                <w:iCs/>
              </w:rPr>
              <w:t>-0,2</w:t>
            </w:r>
          </w:p>
        </w:tc>
      </w:tr>
      <w:tr w:rsidR="00A5041B" w:rsidRPr="00055C14" w14:paraId="4AF14EFB" w14:textId="77777777" w:rsidTr="00146BC3">
        <w:tc>
          <w:tcPr>
            <w:tcW w:w="2695" w:type="dxa"/>
          </w:tcPr>
          <w:p w14:paraId="3FEFD285" w14:textId="77777777" w:rsidR="00A5041B" w:rsidRPr="00055C14" w:rsidRDefault="00A5041B" w:rsidP="00146BC3">
            <w:r w:rsidRPr="00055C14">
              <w:t>Vasaris</w:t>
            </w:r>
          </w:p>
        </w:tc>
        <w:tc>
          <w:tcPr>
            <w:tcW w:w="2118" w:type="dxa"/>
          </w:tcPr>
          <w:p w14:paraId="6E6C0258" w14:textId="77777777" w:rsidR="00A5041B" w:rsidRPr="00055C14" w:rsidRDefault="00A5041B" w:rsidP="00055C14">
            <w:pPr>
              <w:jc w:val="center"/>
            </w:pPr>
            <w:r w:rsidRPr="00055C14">
              <w:t>-3,2</w:t>
            </w:r>
          </w:p>
        </w:tc>
        <w:tc>
          <w:tcPr>
            <w:tcW w:w="1136" w:type="dxa"/>
          </w:tcPr>
          <w:p w14:paraId="40A2D57E" w14:textId="77777777" w:rsidR="00A5041B" w:rsidRPr="00055C14" w:rsidRDefault="00A5041B" w:rsidP="00055C14">
            <w:pPr>
              <w:jc w:val="center"/>
            </w:pPr>
          </w:p>
        </w:tc>
        <w:tc>
          <w:tcPr>
            <w:tcW w:w="1271" w:type="dxa"/>
          </w:tcPr>
          <w:p w14:paraId="41E50F6D" w14:textId="4FBB818E" w:rsidR="00A5041B" w:rsidRPr="00055C14" w:rsidRDefault="00A5041B" w:rsidP="00055C14">
            <w:pPr>
              <w:jc w:val="center"/>
            </w:pPr>
            <w:r w:rsidRPr="00055C14">
              <w:t>–</w:t>
            </w:r>
            <w:r w:rsidR="00FD2799" w:rsidRPr="00055C14">
              <w:t>5,5</w:t>
            </w:r>
          </w:p>
        </w:tc>
        <w:tc>
          <w:tcPr>
            <w:tcW w:w="1190" w:type="dxa"/>
          </w:tcPr>
          <w:p w14:paraId="0B8D9B79" w14:textId="77777777" w:rsidR="00A5041B" w:rsidRPr="00055C14" w:rsidRDefault="00A5041B" w:rsidP="00055C14">
            <w:pPr>
              <w:jc w:val="center"/>
              <w:rPr>
                <w:iCs/>
              </w:rPr>
            </w:pPr>
          </w:p>
        </w:tc>
        <w:tc>
          <w:tcPr>
            <w:tcW w:w="1217" w:type="dxa"/>
          </w:tcPr>
          <w:p w14:paraId="52922063" w14:textId="417A1783" w:rsidR="00A5041B" w:rsidRPr="00055C14" w:rsidRDefault="00A5041B" w:rsidP="00055C14">
            <w:pPr>
              <w:jc w:val="center"/>
              <w:rPr>
                <w:iCs/>
              </w:rPr>
            </w:pPr>
            <w:r w:rsidRPr="00055C14">
              <w:rPr>
                <w:iCs/>
              </w:rPr>
              <w:t>+</w:t>
            </w:r>
            <w:r w:rsidR="003E7603" w:rsidRPr="00055C14">
              <w:rPr>
                <w:iCs/>
              </w:rPr>
              <w:t>1,1</w:t>
            </w:r>
          </w:p>
        </w:tc>
      </w:tr>
      <w:tr w:rsidR="00A5041B" w:rsidRPr="00055C14" w14:paraId="22AFDD27" w14:textId="77777777" w:rsidTr="00146BC3">
        <w:tc>
          <w:tcPr>
            <w:tcW w:w="2695" w:type="dxa"/>
          </w:tcPr>
          <w:p w14:paraId="266FC4EF" w14:textId="68EF1182" w:rsidR="00A5041B" w:rsidRPr="00055C14" w:rsidRDefault="00C02F5D" w:rsidP="00146BC3">
            <w:r w:rsidRPr="00055C14">
              <w:t>K</w:t>
            </w:r>
            <w:r w:rsidR="00A5041B" w:rsidRPr="00055C14">
              <w:t>ovas</w:t>
            </w:r>
          </w:p>
        </w:tc>
        <w:tc>
          <w:tcPr>
            <w:tcW w:w="2118" w:type="dxa"/>
          </w:tcPr>
          <w:p w14:paraId="28E2BED2" w14:textId="77777777" w:rsidR="00A5041B" w:rsidRPr="00055C14" w:rsidRDefault="00A5041B" w:rsidP="00055C14">
            <w:pPr>
              <w:jc w:val="center"/>
            </w:pPr>
            <w:r w:rsidRPr="00055C14">
              <w:t>+0,5</w:t>
            </w:r>
          </w:p>
        </w:tc>
        <w:tc>
          <w:tcPr>
            <w:tcW w:w="1136" w:type="dxa"/>
          </w:tcPr>
          <w:p w14:paraId="1DBF4865" w14:textId="77777777" w:rsidR="00A5041B" w:rsidRPr="00055C14" w:rsidRDefault="00A5041B" w:rsidP="00055C14">
            <w:pPr>
              <w:jc w:val="center"/>
            </w:pPr>
          </w:p>
        </w:tc>
        <w:tc>
          <w:tcPr>
            <w:tcW w:w="1271" w:type="dxa"/>
          </w:tcPr>
          <w:p w14:paraId="4E4916D1" w14:textId="784CB84C" w:rsidR="00A5041B" w:rsidRPr="00055C14" w:rsidRDefault="00FD2799" w:rsidP="00055C14">
            <w:pPr>
              <w:jc w:val="center"/>
            </w:pPr>
            <w:r w:rsidRPr="00055C14">
              <w:t>+1,6</w:t>
            </w:r>
          </w:p>
        </w:tc>
        <w:tc>
          <w:tcPr>
            <w:tcW w:w="1190" w:type="dxa"/>
          </w:tcPr>
          <w:p w14:paraId="64FD3EBE" w14:textId="77777777" w:rsidR="00A5041B" w:rsidRPr="00055C14" w:rsidRDefault="00A5041B" w:rsidP="00055C14">
            <w:pPr>
              <w:jc w:val="center"/>
              <w:rPr>
                <w:iCs/>
              </w:rPr>
            </w:pPr>
          </w:p>
        </w:tc>
        <w:tc>
          <w:tcPr>
            <w:tcW w:w="1217" w:type="dxa"/>
          </w:tcPr>
          <w:p w14:paraId="625CF1A9" w14:textId="2815E761" w:rsidR="00A5041B" w:rsidRPr="00055C14" w:rsidRDefault="00A5041B" w:rsidP="00055C14">
            <w:pPr>
              <w:jc w:val="center"/>
              <w:rPr>
                <w:iCs/>
              </w:rPr>
            </w:pPr>
            <w:r w:rsidRPr="00055C14">
              <w:rPr>
                <w:iCs/>
              </w:rPr>
              <w:t>+</w:t>
            </w:r>
            <w:r w:rsidR="006D6310" w:rsidRPr="00055C14">
              <w:rPr>
                <w:iCs/>
              </w:rPr>
              <w:t>1</w:t>
            </w:r>
            <w:r w:rsidRPr="00055C14">
              <w:rPr>
                <w:iCs/>
              </w:rPr>
              <w:t>,</w:t>
            </w:r>
            <w:r w:rsidR="006D6310" w:rsidRPr="00055C14">
              <w:rPr>
                <w:iCs/>
              </w:rPr>
              <w:t>5</w:t>
            </w:r>
          </w:p>
        </w:tc>
      </w:tr>
      <w:tr w:rsidR="00A5041B" w:rsidRPr="00055C14" w14:paraId="21BD38F4" w14:textId="77777777" w:rsidTr="00146BC3">
        <w:tc>
          <w:tcPr>
            <w:tcW w:w="2695" w:type="dxa"/>
          </w:tcPr>
          <w:p w14:paraId="4FC3E534" w14:textId="77777777" w:rsidR="00A5041B" w:rsidRPr="00055C14" w:rsidRDefault="00A5041B" w:rsidP="00146BC3">
            <w:pPr>
              <w:jc w:val="right"/>
              <w:rPr>
                <w:b/>
              </w:rPr>
            </w:pPr>
            <w:r w:rsidRPr="00055C14">
              <w:rPr>
                <w:b/>
              </w:rPr>
              <w:t>5 mėnesių vidurkis</w:t>
            </w:r>
          </w:p>
        </w:tc>
        <w:tc>
          <w:tcPr>
            <w:tcW w:w="2118" w:type="dxa"/>
          </w:tcPr>
          <w:p w14:paraId="293CD309" w14:textId="77777777" w:rsidR="00A5041B" w:rsidRPr="00055C14" w:rsidRDefault="00A5041B" w:rsidP="00055C14">
            <w:pPr>
              <w:jc w:val="center"/>
              <w:rPr>
                <w:b/>
              </w:rPr>
            </w:pPr>
            <w:r w:rsidRPr="00055C14">
              <w:rPr>
                <w:b/>
              </w:rPr>
              <w:t>-1,2</w:t>
            </w:r>
          </w:p>
        </w:tc>
        <w:tc>
          <w:tcPr>
            <w:tcW w:w="2407" w:type="dxa"/>
            <w:gridSpan w:val="2"/>
          </w:tcPr>
          <w:p w14:paraId="1D78BD43" w14:textId="7FA74917" w:rsidR="00A5041B" w:rsidRPr="00055C14" w:rsidRDefault="00FD2799" w:rsidP="00146BC3">
            <w:pPr>
              <w:jc w:val="center"/>
              <w:rPr>
                <w:b/>
              </w:rPr>
            </w:pPr>
            <w:r w:rsidRPr="00055C14">
              <w:rPr>
                <w:b/>
              </w:rPr>
              <w:t>-</w:t>
            </w:r>
            <w:r w:rsidR="00A5041B" w:rsidRPr="00055C14">
              <w:rPr>
                <w:b/>
              </w:rPr>
              <w:t>0,</w:t>
            </w:r>
            <w:r w:rsidR="00BF4101" w:rsidRPr="00055C14">
              <w:rPr>
                <w:b/>
              </w:rPr>
              <w:t>3</w:t>
            </w:r>
          </w:p>
        </w:tc>
        <w:tc>
          <w:tcPr>
            <w:tcW w:w="2407" w:type="dxa"/>
            <w:gridSpan w:val="2"/>
          </w:tcPr>
          <w:p w14:paraId="3C0187A2" w14:textId="66C145E7" w:rsidR="00A5041B" w:rsidRPr="00055C14" w:rsidRDefault="00A5041B" w:rsidP="00146BC3">
            <w:pPr>
              <w:jc w:val="center"/>
              <w:rPr>
                <w:b/>
                <w:iCs/>
              </w:rPr>
            </w:pPr>
            <w:r w:rsidRPr="00055C14">
              <w:rPr>
                <w:b/>
                <w:iCs/>
              </w:rPr>
              <w:t>+</w:t>
            </w:r>
            <w:r w:rsidR="00AA4F70" w:rsidRPr="00055C14">
              <w:rPr>
                <w:b/>
                <w:iCs/>
              </w:rPr>
              <w:t>0</w:t>
            </w:r>
            <w:r w:rsidRPr="00055C14">
              <w:rPr>
                <w:b/>
                <w:iCs/>
              </w:rPr>
              <w:t>,</w:t>
            </w:r>
            <w:r w:rsidR="00AA4F70" w:rsidRPr="00055C14">
              <w:rPr>
                <w:b/>
                <w:iCs/>
              </w:rPr>
              <w:t>6</w:t>
            </w:r>
          </w:p>
        </w:tc>
      </w:tr>
    </w:tbl>
    <w:p w14:paraId="09B29847" w14:textId="77777777" w:rsidR="00A5041B" w:rsidRPr="00055C14" w:rsidRDefault="00A5041B" w:rsidP="00A5041B">
      <w:pPr>
        <w:rPr>
          <w:szCs w:val="24"/>
        </w:rPr>
      </w:pPr>
    </w:p>
    <w:p w14:paraId="2388A00E" w14:textId="1E093C34" w:rsidR="00A5041B" w:rsidRPr="00055C14" w:rsidRDefault="00EE2A3C" w:rsidP="00A5041B">
      <w:pPr>
        <w:jc w:val="both"/>
        <w:rPr>
          <w:szCs w:val="24"/>
        </w:rPr>
      </w:pPr>
      <w:r w:rsidRPr="00055C14">
        <w:t>Galima teigti, kad lyginant šį šildymo sezoną su 20</w:t>
      </w:r>
      <w:r w:rsidR="00AB176E" w:rsidRPr="00055C14">
        <w:t>2</w:t>
      </w:r>
      <w:r w:rsidR="00C02F5D" w:rsidRPr="00055C14">
        <w:t>0</w:t>
      </w:r>
      <w:r w:rsidRPr="00055C14">
        <w:t>/202</w:t>
      </w:r>
      <w:r w:rsidR="00C02F5D" w:rsidRPr="00055C14">
        <w:t>1</w:t>
      </w:r>
      <w:r w:rsidRPr="00055C14">
        <w:t xml:space="preserve"> metų šildymo sezonu – buvo </w:t>
      </w:r>
      <w:r w:rsidRPr="00055C14">
        <w:rPr>
          <w:b/>
          <w:bCs/>
        </w:rPr>
        <w:t xml:space="preserve">suvartota apie </w:t>
      </w:r>
      <w:r w:rsidR="00B70047" w:rsidRPr="00055C14">
        <w:rPr>
          <w:b/>
          <w:bCs/>
        </w:rPr>
        <w:t>5</w:t>
      </w:r>
      <w:r w:rsidRPr="00055C14">
        <w:rPr>
          <w:b/>
          <w:bCs/>
        </w:rPr>
        <w:t xml:space="preserve"> procent</w:t>
      </w:r>
      <w:r w:rsidR="00B70047" w:rsidRPr="00055C14">
        <w:rPr>
          <w:b/>
          <w:bCs/>
        </w:rPr>
        <w:t>us</w:t>
      </w:r>
      <w:r w:rsidRPr="00055C14">
        <w:rPr>
          <w:b/>
          <w:bCs/>
        </w:rPr>
        <w:t xml:space="preserve"> </w:t>
      </w:r>
      <w:r w:rsidR="00B70047" w:rsidRPr="00055C14">
        <w:rPr>
          <w:b/>
          <w:bCs/>
        </w:rPr>
        <w:t>mažiau</w:t>
      </w:r>
      <w:r w:rsidRPr="00055C14">
        <w:rPr>
          <w:b/>
          <w:bCs/>
        </w:rPr>
        <w:t xml:space="preserve"> šilumos</w:t>
      </w:r>
      <w:r w:rsidRPr="00055C14">
        <w:t xml:space="preserve"> energijos toms pačioms patalpoms šildyti, jei pastate neįvyko esminių energijos vartojimą įtakojančių pasikeitimų (pvz. renovacija).</w:t>
      </w:r>
    </w:p>
    <w:p w14:paraId="4B70FEC5" w14:textId="4CBB693D" w:rsidR="00A5041B" w:rsidRDefault="00A5041B" w:rsidP="00A5041B"/>
    <w:p w14:paraId="4CC137AE" w14:textId="2B81E4FB" w:rsidR="00F826CD" w:rsidRDefault="00F826CD" w:rsidP="00A5041B"/>
    <w:p w14:paraId="313A31B3" w14:textId="20916291" w:rsidR="00F826CD" w:rsidRDefault="00F826CD" w:rsidP="00A5041B"/>
    <w:p w14:paraId="047F138B" w14:textId="1A1D7E2F" w:rsidR="00F826CD" w:rsidRDefault="00F826CD" w:rsidP="00A5041B"/>
    <w:p w14:paraId="787E9DDF" w14:textId="2C7B7B2F" w:rsidR="00F826CD" w:rsidRDefault="00F826CD" w:rsidP="00A5041B"/>
    <w:p w14:paraId="183187A1" w14:textId="3F2CDEE4" w:rsidR="00F826CD" w:rsidRDefault="00F826CD" w:rsidP="00A5041B"/>
    <w:p w14:paraId="376F9B88" w14:textId="4FAE8DEB" w:rsidR="00F826CD" w:rsidRDefault="00F826CD" w:rsidP="00A5041B"/>
    <w:p w14:paraId="76873E38" w14:textId="77777777" w:rsidR="00F826CD" w:rsidRPr="00055C14" w:rsidRDefault="00F826CD" w:rsidP="00A5041B"/>
    <w:p w14:paraId="48EAA28F" w14:textId="1FA50456" w:rsidR="00A5041B" w:rsidRPr="00055C14" w:rsidRDefault="00055C14" w:rsidP="00A5041B">
      <w:r>
        <w:lastRenderedPageBreak/>
        <w:t>Mokėjimams už šilumą</w:t>
      </w:r>
      <w:r w:rsidR="00C02F5D" w:rsidRPr="00055C14">
        <w:t xml:space="preserve"> </w:t>
      </w:r>
      <w:r w:rsidR="00A5041B" w:rsidRPr="00055C14">
        <w:t>didelę įtaką turi šilum</w:t>
      </w:r>
      <w:r>
        <w:t>os</w:t>
      </w:r>
      <w:r w:rsidR="00A5041B" w:rsidRPr="00055C14">
        <w:t xml:space="preserve"> vieneto kaina (ct/kWh). Ji yra </w:t>
      </w:r>
      <w:r w:rsidR="00CB1F17" w:rsidRPr="00055C14">
        <w:t xml:space="preserve">gana </w:t>
      </w:r>
      <w:r w:rsidR="00A5041B" w:rsidRPr="00055C14">
        <w:t>skirtinga kiekviename mieste, tačiau vidutinės reikšmės Lietuvoje atskirais mėnesiais parody</w:t>
      </w:r>
      <w:r>
        <w:t>tos</w:t>
      </w:r>
      <w:r w:rsidR="00A5041B" w:rsidRPr="00055C14">
        <w:t xml:space="preserve"> lentelėje: </w:t>
      </w:r>
    </w:p>
    <w:p w14:paraId="6C6B1D5D" w14:textId="77777777" w:rsidR="00A5041B" w:rsidRPr="00055C14" w:rsidRDefault="00A5041B" w:rsidP="00A5041B">
      <w:r w:rsidRPr="00055C14">
        <w:t xml:space="preserve"> </w:t>
      </w:r>
    </w:p>
    <w:p w14:paraId="64527BAF" w14:textId="34EDE9FD" w:rsidR="00A5041B" w:rsidRPr="00055C14" w:rsidRDefault="00A5041B" w:rsidP="00A5041B">
      <w:pPr>
        <w:jc w:val="center"/>
        <w:rPr>
          <w:b/>
        </w:rPr>
      </w:pPr>
      <w:r w:rsidRPr="00055C14">
        <w:rPr>
          <w:b/>
        </w:rPr>
        <w:t xml:space="preserve">Vidutinė šilumos kaina Lietuvoje ct/kWh su </w:t>
      </w:r>
      <w:r w:rsidR="00A164AC" w:rsidRPr="00055C14">
        <w:rPr>
          <w:b/>
        </w:rPr>
        <w:t xml:space="preserve">9 proc. </w:t>
      </w:r>
      <w:r w:rsidRPr="00055C14">
        <w:rPr>
          <w:b/>
        </w:rPr>
        <w:t>PVM</w:t>
      </w:r>
    </w:p>
    <w:p w14:paraId="4B5FCF00" w14:textId="77777777" w:rsidR="00A5041B" w:rsidRPr="00055C14" w:rsidRDefault="00A5041B" w:rsidP="00A5041B">
      <w:pPr>
        <w:jc w:val="center"/>
        <w:rPr>
          <w:b/>
        </w:rPr>
      </w:pPr>
    </w:p>
    <w:tbl>
      <w:tblPr>
        <w:tblStyle w:val="TableGrid"/>
        <w:tblW w:w="0" w:type="auto"/>
        <w:jc w:val="center"/>
        <w:tblLook w:val="04A0" w:firstRow="1" w:lastRow="0" w:firstColumn="1" w:lastColumn="0" w:noHBand="0" w:noVBand="1"/>
      </w:tblPr>
      <w:tblGrid>
        <w:gridCol w:w="1980"/>
        <w:gridCol w:w="1136"/>
        <w:gridCol w:w="1271"/>
        <w:gridCol w:w="1190"/>
        <w:gridCol w:w="1217"/>
      </w:tblGrid>
      <w:tr w:rsidR="00A5041B" w:rsidRPr="00055C14" w14:paraId="7C88033A" w14:textId="77777777" w:rsidTr="00146BC3">
        <w:trPr>
          <w:jc w:val="center"/>
        </w:trPr>
        <w:tc>
          <w:tcPr>
            <w:tcW w:w="1980" w:type="dxa"/>
            <w:vMerge w:val="restart"/>
          </w:tcPr>
          <w:p w14:paraId="35951874" w14:textId="77777777" w:rsidR="00A5041B" w:rsidRPr="00055C14" w:rsidRDefault="00A5041B" w:rsidP="00146BC3">
            <w:pPr>
              <w:jc w:val="center"/>
              <w:rPr>
                <w:b/>
                <w:sz w:val="20"/>
                <w:szCs w:val="20"/>
              </w:rPr>
            </w:pPr>
            <w:r w:rsidRPr="00055C14">
              <w:rPr>
                <w:b/>
                <w:sz w:val="20"/>
                <w:szCs w:val="20"/>
              </w:rPr>
              <w:t>Mėnuo</w:t>
            </w:r>
          </w:p>
        </w:tc>
        <w:tc>
          <w:tcPr>
            <w:tcW w:w="2407" w:type="dxa"/>
            <w:gridSpan w:val="2"/>
          </w:tcPr>
          <w:p w14:paraId="33D7F1BC" w14:textId="77777777" w:rsidR="00A5041B" w:rsidRPr="00055C14" w:rsidRDefault="00A5041B" w:rsidP="00146BC3">
            <w:pPr>
              <w:jc w:val="center"/>
              <w:rPr>
                <w:b/>
                <w:sz w:val="20"/>
                <w:szCs w:val="20"/>
              </w:rPr>
            </w:pPr>
            <w:r w:rsidRPr="00055C14">
              <w:rPr>
                <w:b/>
                <w:sz w:val="20"/>
                <w:szCs w:val="20"/>
              </w:rPr>
              <w:t>Šilumos kaina ct/kWh</w:t>
            </w:r>
          </w:p>
        </w:tc>
        <w:tc>
          <w:tcPr>
            <w:tcW w:w="2407" w:type="dxa"/>
            <w:gridSpan w:val="2"/>
          </w:tcPr>
          <w:p w14:paraId="7E6179BB" w14:textId="77777777" w:rsidR="00A5041B" w:rsidRPr="00055C14" w:rsidRDefault="00A5041B" w:rsidP="00146BC3">
            <w:pPr>
              <w:jc w:val="center"/>
              <w:rPr>
                <w:b/>
                <w:sz w:val="20"/>
                <w:szCs w:val="20"/>
              </w:rPr>
            </w:pPr>
            <w:r w:rsidRPr="00055C14">
              <w:rPr>
                <w:b/>
                <w:sz w:val="20"/>
                <w:szCs w:val="20"/>
              </w:rPr>
              <w:t>Šilumos kaina ct/kWh</w:t>
            </w:r>
          </w:p>
        </w:tc>
      </w:tr>
      <w:tr w:rsidR="00A5041B" w:rsidRPr="00055C14" w14:paraId="6A210990" w14:textId="77777777" w:rsidTr="00146BC3">
        <w:trPr>
          <w:jc w:val="center"/>
        </w:trPr>
        <w:tc>
          <w:tcPr>
            <w:tcW w:w="1980" w:type="dxa"/>
            <w:vMerge/>
          </w:tcPr>
          <w:p w14:paraId="08F0B180" w14:textId="77777777" w:rsidR="00A5041B" w:rsidRPr="00055C14" w:rsidRDefault="00A5041B" w:rsidP="00146BC3">
            <w:pPr>
              <w:jc w:val="center"/>
              <w:rPr>
                <w:b/>
                <w:sz w:val="20"/>
                <w:szCs w:val="20"/>
              </w:rPr>
            </w:pPr>
          </w:p>
        </w:tc>
        <w:tc>
          <w:tcPr>
            <w:tcW w:w="1136" w:type="dxa"/>
          </w:tcPr>
          <w:p w14:paraId="14D61E7F" w14:textId="77777777" w:rsidR="00A5041B" w:rsidRPr="00055C14" w:rsidRDefault="00A5041B" w:rsidP="00146BC3">
            <w:pPr>
              <w:jc w:val="center"/>
              <w:rPr>
                <w:b/>
                <w:sz w:val="22"/>
                <w:szCs w:val="20"/>
              </w:rPr>
            </w:pPr>
            <w:r w:rsidRPr="00055C14">
              <w:rPr>
                <w:b/>
                <w:sz w:val="22"/>
                <w:szCs w:val="20"/>
              </w:rPr>
              <w:t>2020</w:t>
            </w:r>
          </w:p>
        </w:tc>
        <w:tc>
          <w:tcPr>
            <w:tcW w:w="1271" w:type="dxa"/>
          </w:tcPr>
          <w:p w14:paraId="755C9AF1" w14:textId="77777777" w:rsidR="00A5041B" w:rsidRPr="00055C14" w:rsidRDefault="00A5041B" w:rsidP="00146BC3">
            <w:pPr>
              <w:jc w:val="center"/>
              <w:rPr>
                <w:b/>
                <w:sz w:val="22"/>
                <w:szCs w:val="20"/>
              </w:rPr>
            </w:pPr>
            <w:r w:rsidRPr="00055C14">
              <w:rPr>
                <w:b/>
                <w:sz w:val="22"/>
                <w:szCs w:val="20"/>
              </w:rPr>
              <w:t>2021</w:t>
            </w:r>
          </w:p>
        </w:tc>
        <w:tc>
          <w:tcPr>
            <w:tcW w:w="1190" w:type="dxa"/>
          </w:tcPr>
          <w:p w14:paraId="7CB10137" w14:textId="411CD9E4" w:rsidR="00A5041B" w:rsidRPr="00055C14" w:rsidRDefault="00A5041B" w:rsidP="00146BC3">
            <w:pPr>
              <w:jc w:val="center"/>
              <w:rPr>
                <w:b/>
                <w:sz w:val="22"/>
                <w:szCs w:val="20"/>
              </w:rPr>
            </w:pPr>
            <w:r w:rsidRPr="00055C14">
              <w:rPr>
                <w:b/>
                <w:sz w:val="22"/>
                <w:szCs w:val="20"/>
              </w:rPr>
              <w:t>20</w:t>
            </w:r>
            <w:r w:rsidR="003110BD" w:rsidRPr="00055C14">
              <w:rPr>
                <w:b/>
                <w:sz w:val="22"/>
                <w:szCs w:val="20"/>
              </w:rPr>
              <w:t>21</w:t>
            </w:r>
          </w:p>
        </w:tc>
        <w:tc>
          <w:tcPr>
            <w:tcW w:w="1217" w:type="dxa"/>
          </w:tcPr>
          <w:p w14:paraId="2D8889F3" w14:textId="4D2E9A77" w:rsidR="00A5041B" w:rsidRPr="00055C14" w:rsidRDefault="00A5041B" w:rsidP="00146BC3">
            <w:pPr>
              <w:jc w:val="center"/>
              <w:rPr>
                <w:b/>
                <w:sz w:val="22"/>
                <w:szCs w:val="20"/>
              </w:rPr>
            </w:pPr>
            <w:r w:rsidRPr="00055C14">
              <w:rPr>
                <w:b/>
                <w:sz w:val="22"/>
                <w:szCs w:val="20"/>
              </w:rPr>
              <w:t>20</w:t>
            </w:r>
            <w:r w:rsidR="003110BD" w:rsidRPr="00055C14">
              <w:rPr>
                <w:b/>
                <w:sz w:val="22"/>
                <w:szCs w:val="20"/>
              </w:rPr>
              <w:t>22</w:t>
            </w:r>
          </w:p>
        </w:tc>
      </w:tr>
      <w:tr w:rsidR="00A5041B" w:rsidRPr="00055C14" w14:paraId="6787CD1A" w14:textId="77777777" w:rsidTr="00146BC3">
        <w:trPr>
          <w:jc w:val="center"/>
        </w:trPr>
        <w:tc>
          <w:tcPr>
            <w:tcW w:w="1980" w:type="dxa"/>
          </w:tcPr>
          <w:p w14:paraId="1078D4CC" w14:textId="77777777" w:rsidR="00A5041B" w:rsidRPr="00055C14" w:rsidRDefault="00A5041B" w:rsidP="00146BC3">
            <w:pPr>
              <w:jc w:val="center"/>
            </w:pPr>
            <w:r w:rsidRPr="00055C14">
              <w:t>Lapkritis</w:t>
            </w:r>
          </w:p>
        </w:tc>
        <w:tc>
          <w:tcPr>
            <w:tcW w:w="1136" w:type="dxa"/>
          </w:tcPr>
          <w:p w14:paraId="068856C7" w14:textId="77777777" w:rsidR="00A5041B" w:rsidRPr="00055C14" w:rsidRDefault="00A5041B" w:rsidP="00146BC3">
            <w:pPr>
              <w:jc w:val="center"/>
            </w:pPr>
            <w:r w:rsidRPr="00055C14">
              <w:t>4,3</w:t>
            </w:r>
          </w:p>
        </w:tc>
        <w:tc>
          <w:tcPr>
            <w:tcW w:w="1271" w:type="dxa"/>
          </w:tcPr>
          <w:p w14:paraId="3775BA67" w14:textId="77777777" w:rsidR="00A5041B" w:rsidRPr="00055C14" w:rsidRDefault="00A5041B" w:rsidP="00146BC3">
            <w:pPr>
              <w:jc w:val="center"/>
            </w:pPr>
          </w:p>
        </w:tc>
        <w:tc>
          <w:tcPr>
            <w:tcW w:w="1190" w:type="dxa"/>
          </w:tcPr>
          <w:p w14:paraId="3A7CDE68" w14:textId="02D6B137" w:rsidR="00A5041B" w:rsidRPr="00055C14" w:rsidRDefault="00C7409A" w:rsidP="00146BC3">
            <w:pPr>
              <w:jc w:val="center"/>
            </w:pPr>
            <w:r w:rsidRPr="00055C14">
              <w:t>6,3</w:t>
            </w:r>
          </w:p>
        </w:tc>
        <w:tc>
          <w:tcPr>
            <w:tcW w:w="1217" w:type="dxa"/>
          </w:tcPr>
          <w:p w14:paraId="636CFF37" w14:textId="77777777" w:rsidR="00A5041B" w:rsidRPr="00055C14" w:rsidRDefault="00A5041B" w:rsidP="00146BC3">
            <w:pPr>
              <w:jc w:val="center"/>
            </w:pPr>
          </w:p>
        </w:tc>
      </w:tr>
      <w:tr w:rsidR="00A5041B" w:rsidRPr="00055C14" w14:paraId="46C00C71" w14:textId="77777777" w:rsidTr="00146BC3">
        <w:trPr>
          <w:jc w:val="center"/>
        </w:trPr>
        <w:tc>
          <w:tcPr>
            <w:tcW w:w="1980" w:type="dxa"/>
          </w:tcPr>
          <w:p w14:paraId="5FD43C67" w14:textId="77777777" w:rsidR="00A5041B" w:rsidRPr="00055C14" w:rsidRDefault="00A5041B" w:rsidP="00146BC3">
            <w:pPr>
              <w:jc w:val="center"/>
            </w:pPr>
            <w:r w:rsidRPr="00055C14">
              <w:t>Gruodis</w:t>
            </w:r>
          </w:p>
        </w:tc>
        <w:tc>
          <w:tcPr>
            <w:tcW w:w="1136" w:type="dxa"/>
          </w:tcPr>
          <w:p w14:paraId="6C1E3313" w14:textId="77777777" w:rsidR="00A5041B" w:rsidRPr="00055C14" w:rsidRDefault="00A5041B" w:rsidP="00146BC3">
            <w:pPr>
              <w:jc w:val="center"/>
            </w:pPr>
            <w:r w:rsidRPr="00055C14">
              <w:t>4,5</w:t>
            </w:r>
          </w:p>
        </w:tc>
        <w:tc>
          <w:tcPr>
            <w:tcW w:w="1271" w:type="dxa"/>
          </w:tcPr>
          <w:p w14:paraId="5D9A632D" w14:textId="77777777" w:rsidR="00A5041B" w:rsidRPr="00055C14" w:rsidRDefault="00A5041B" w:rsidP="00146BC3">
            <w:pPr>
              <w:jc w:val="center"/>
            </w:pPr>
          </w:p>
        </w:tc>
        <w:tc>
          <w:tcPr>
            <w:tcW w:w="1190" w:type="dxa"/>
          </w:tcPr>
          <w:p w14:paraId="06DB982F" w14:textId="6DBD47D9" w:rsidR="00A5041B" w:rsidRPr="00055C14" w:rsidRDefault="00C7409A" w:rsidP="00146BC3">
            <w:pPr>
              <w:jc w:val="center"/>
            </w:pPr>
            <w:r w:rsidRPr="00055C14">
              <w:t>7,3</w:t>
            </w:r>
          </w:p>
        </w:tc>
        <w:tc>
          <w:tcPr>
            <w:tcW w:w="1217" w:type="dxa"/>
          </w:tcPr>
          <w:p w14:paraId="3169E697" w14:textId="77777777" w:rsidR="00A5041B" w:rsidRPr="00055C14" w:rsidRDefault="00A5041B" w:rsidP="00146BC3">
            <w:pPr>
              <w:jc w:val="center"/>
            </w:pPr>
          </w:p>
        </w:tc>
      </w:tr>
      <w:tr w:rsidR="00A5041B" w:rsidRPr="00055C14" w14:paraId="022C095B" w14:textId="77777777" w:rsidTr="00146BC3">
        <w:trPr>
          <w:jc w:val="center"/>
        </w:trPr>
        <w:tc>
          <w:tcPr>
            <w:tcW w:w="1980" w:type="dxa"/>
          </w:tcPr>
          <w:p w14:paraId="50AA1FDE" w14:textId="77777777" w:rsidR="00A5041B" w:rsidRPr="00055C14" w:rsidRDefault="00A5041B" w:rsidP="00146BC3">
            <w:pPr>
              <w:jc w:val="center"/>
            </w:pPr>
            <w:r w:rsidRPr="00055C14">
              <w:t>Sausis</w:t>
            </w:r>
          </w:p>
        </w:tc>
        <w:tc>
          <w:tcPr>
            <w:tcW w:w="1136" w:type="dxa"/>
          </w:tcPr>
          <w:p w14:paraId="2995792B" w14:textId="77777777" w:rsidR="00A5041B" w:rsidRPr="00055C14" w:rsidRDefault="00A5041B" w:rsidP="00146BC3">
            <w:pPr>
              <w:jc w:val="center"/>
            </w:pPr>
          </w:p>
        </w:tc>
        <w:tc>
          <w:tcPr>
            <w:tcW w:w="1271" w:type="dxa"/>
          </w:tcPr>
          <w:p w14:paraId="66562137" w14:textId="77777777" w:rsidR="00A5041B" w:rsidRPr="00055C14" w:rsidRDefault="00A5041B" w:rsidP="00146BC3">
            <w:pPr>
              <w:jc w:val="center"/>
            </w:pPr>
            <w:r w:rsidRPr="00055C14">
              <w:t>4,6</w:t>
            </w:r>
          </w:p>
        </w:tc>
        <w:tc>
          <w:tcPr>
            <w:tcW w:w="1190" w:type="dxa"/>
          </w:tcPr>
          <w:p w14:paraId="11451679" w14:textId="77777777" w:rsidR="00A5041B" w:rsidRPr="00055C14" w:rsidRDefault="00A5041B" w:rsidP="00146BC3">
            <w:pPr>
              <w:jc w:val="center"/>
            </w:pPr>
          </w:p>
        </w:tc>
        <w:tc>
          <w:tcPr>
            <w:tcW w:w="1217" w:type="dxa"/>
          </w:tcPr>
          <w:p w14:paraId="227BCB1E" w14:textId="1C3ABC92" w:rsidR="00A5041B" w:rsidRPr="00055C14" w:rsidRDefault="00C7409A" w:rsidP="00146BC3">
            <w:pPr>
              <w:jc w:val="center"/>
            </w:pPr>
            <w:r w:rsidRPr="00055C14">
              <w:t>8</w:t>
            </w:r>
            <w:r w:rsidR="00A5041B" w:rsidRPr="00055C14">
              <w:t>,2</w:t>
            </w:r>
          </w:p>
        </w:tc>
      </w:tr>
      <w:tr w:rsidR="00A5041B" w:rsidRPr="00055C14" w14:paraId="4B8FFA4C" w14:textId="77777777" w:rsidTr="00146BC3">
        <w:trPr>
          <w:jc w:val="center"/>
        </w:trPr>
        <w:tc>
          <w:tcPr>
            <w:tcW w:w="1980" w:type="dxa"/>
          </w:tcPr>
          <w:p w14:paraId="6E6F9829" w14:textId="77777777" w:rsidR="00A5041B" w:rsidRPr="00055C14" w:rsidRDefault="00A5041B" w:rsidP="00146BC3">
            <w:pPr>
              <w:jc w:val="center"/>
            </w:pPr>
            <w:r w:rsidRPr="00055C14">
              <w:t>Vasaris</w:t>
            </w:r>
          </w:p>
        </w:tc>
        <w:tc>
          <w:tcPr>
            <w:tcW w:w="1136" w:type="dxa"/>
          </w:tcPr>
          <w:p w14:paraId="4A2D4E43" w14:textId="77777777" w:rsidR="00A5041B" w:rsidRPr="00055C14" w:rsidRDefault="00A5041B" w:rsidP="00146BC3">
            <w:pPr>
              <w:jc w:val="center"/>
            </w:pPr>
          </w:p>
        </w:tc>
        <w:tc>
          <w:tcPr>
            <w:tcW w:w="1271" w:type="dxa"/>
          </w:tcPr>
          <w:p w14:paraId="47204A5D" w14:textId="77777777" w:rsidR="00A5041B" w:rsidRPr="00055C14" w:rsidRDefault="00A5041B" w:rsidP="00146BC3">
            <w:pPr>
              <w:jc w:val="center"/>
            </w:pPr>
            <w:r w:rsidRPr="00055C14">
              <w:t>4,6</w:t>
            </w:r>
          </w:p>
        </w:tc>
        <w:tc>
          <w:tcPr>
            <w:tcW w:w="1190" w:type="dxa"/>
          </w:tcPr>
          <w:p w14:paraId="3CD1AC73" w14:textId="77777777" w:rsidR="00A5041B" w:rsidRPr="00055C14" w:rsidRDefault="00A5041B" w:rsidP="00146BC3">
            <w:pPr>
              <w:jc w:val="center"/>
            </w:pPr>
          </w:p>
        </w:tc>
        <w:tc>
          <w:tcPr>
            <w:tcW w:w="1217" w:type="dxa"/>
          </w:tcPr>
          <w:p w14:paraId="52D18960" w14:textId="2F525DD4" w:rsidR="00A5041B" w:rsidRPr="00055C14" w:rsidRDefault="00C7409A" w:rsidP="00146BC3">
            <w:pPr>
              <w:jc w:val="center"/>
            </w:pPr>
            <w:r w:rsidRPr="00055C14">
              <w:t>9</w:t>
            </w:r>
            <w:r w:rsidR="00A5041B" w:rsidRPr="00055C14">
              <w:t>,</w:t>
            </w:r>
            <w:r w:rsidRPr="00055C14">
              <w:t>0</w:t>
            </w:r>
          </w:p>
        </w:tc>
      </w:tr>
      <w:tr w:rsidR="00A5041B" w:rsidRPr="00055C14" w14:paraId="33ED344F" w14:textId="77777777" w:rsidTr="00146BC3">
        <w:trPr>
          <w:jc w:val="center"/>
        </w:trPr>
        <w:tc>
          <w:tcPr>
            <w:tcW w:w="1980" w:type="dxa"/>
          </w:tcPr>
          <w:p w14:paraId="6D8207F4" w14:textId="77777777" w:rsidR="00A5041B" w:rsidRPr="00055C14" w:rsidRDefault="00A5041B" w:rsidP="00146BC3">
            <w:pPr>
              <w:jc w:val="center"/>
            </w:pPr>
            <w:r w:rsidRPr="00055C14">
              <w:t>kovas</w:t>
            </w:r>
          </w:p>
        </w:tc>
        <w:tc>
          <w:tcPr>
            <w:tcW w:w="1136" w:type="dxa"/>
          </w:tcPr>
          <w:p w14:paraId="30780D62" w14:textId="77777777" w:rsidR="00A5041B" w:rsidRPr="00055C14" w:rsidRDefault="00A5041B" w:rsidP="00146BC3">
            <w:pPr>
              <w:jc w:val="center"/>
            </w:pPr>
          </w:p>
        </w:tc>
        <w:tc>
          <w:tcPr>
            <w:tcW w:w="1271" w:type="dxa"/>
          </w:tcPr>
          <w:p w14:paraId="08A63841" w14:textId="77777777" w:rsidR="00A5041B" w:rsidRPr="00055C14" w:rsidRDefault="00A5041B" w:rsidP="00146BC3">
            <w:pPr>
              <w:jc w:val="center"/>
            </w:pPr>
            <w:r w:rsidRPr="00055C14">
              <w:t>4,8</w:t>
            </w:r>
          </w:p>
        </w:tc>
        <w:tc>
          <w:tcPr>
            <w:tcW w:w="1190" w:type="dxa"/>
          </w:tcPr>
          <w:p w14:paraId="6BC8CC4F" w14:textId="77777777" w:rsidR="00A5041B" w:rsidRPr="00055C14" w:rsidRDefault="00A5041B" w:rsidP="00146BC3">
            <w:pPr>
              <w:jc w:val="center"/>
            </w:pPr>
          </w:p>
        </w:tc>
        <w:tc>
          <w:tcPr>
            <w:tcW w:w="1217" w:type="dxa"/>
          </w:tcPr>
          <w:p w14:paraId="1152E378" w14:textId="388F112A" w:rsidR="00A5041B" w:rsidRPr="00055C14" w:rsidRDefault="00C7409A" w:rsidP="00146BC3">
            <w:pPr>
              <w:jc w:val="center"/>
            </w:pPr>
            <w:r w:rsidRPr="00055C14">
              <w:t>9</w:t>
            </w:r>
            <w:r w:rsidR="00A5041B" w:rsidRPr="00055C14">
              <w:t>,</w:t>
            </w:r>
            <w:r w:rsidRPr="00055C14">
              <w:t>0</w:t>
            </w:r>
          </w:p>
        </w:tc>
      </w:tr>
      <w:tr w:rsidR="00A5041B" w:rsidRPr="00055C14" w14:paraId="55E17980" w14:textId="77777777" w:rsidTr="00146BC3">
        <w:trPr>
          <w:jc w:val="center"/>
        </w:trPr>
        <w:tc>
          <w:tcPr>
            <w:tcW w:w="1980" w:type="dxa"/>
          </w:tcPr>
          <w:p w14:paraId="2DFC79A4" w14:textId="77777777" w:rsidR="00A5041B" w:rsidRPr="00055C14" w:rsidRDefault="00A5041B" w:rsidP="00146BC3">
            <w:pPr>
              <w:jc w:val="center"/>
              <w:rPr>
                <w:b/>
              </w:rPr>
            </w:pPr>
            <w:r w:rsidRPr="00055C14">
              <w:rPr>
                <w:b/>
              </w:rPr>
              <w:t>VIDURKIS</w:t>
            </w:r>
          </w:p>
        </w:tc>
        <w:tc>
          <w:tcPr>
            <w:tcW w:w="2407" w:type="dxa"/>
            <w:gridSpan w:val="2"/>
          </w:tcPr>
          <w:p w14:paraId="49D3523B" w14:textId="77777777" w:rsidR="00A5041B" w:rsidRPr="00055C14" w:rsidRDefault="00A5041B" w:rsidP="00146BC3">
            <w:pPr>
              <w:jc w:val="center"/>
              <w:rPr>
                <w:b/>
              </w:rPr>
            </w:pPr>
            <w:r w:rsidRPr="00055C14">
              <w:rPr>
                <w:b/>
              </w:rPr>
              <w:t>4,6</w:t>
            </w:r>
          </w:p>
        </w:tc>
        <w:tc>
          <w:tcPr>
            <w:tcW w:w="2407" w:type="dxa"/>
            <w:gridSpan w:val="2"/>
          </w:tcPr>
          <w:p w14:paraId="4B06907A" w14:textId="528FD559" w:rsidR="00A5041B" w:rsidRPr="00055C14" w:rsidRDefault="00FE0749" w:rsidP="00146BC3">
            <w:pPr>
              <w:jc w:val="center"/>
              <w:rPr>
                <w:b/>
              </w:rPr>
            </w:pPr>
            <w:r w:rsidRPr="00055C14">
              <w:rPr>
                <w:b/>
              </w:rPr>
              <w:t>8</w:t>
            </w:r>
            <w:r w:rsidR="00A5041B" w:rsidRPr="00055C14">
              <w:rPr>
                <w:b/>
              </w:rPr>
              <w:t>,1</w:t>
            </w:r>
          </w:p>
        </w:tc>
      </w:tr>
    </w:tbl>
    <w:p w14:paraId="45FF13E4" w14:textId="3D6ADFFB" w:rsidR="00A5041B" w:rsidRDefault="00A5041B" w:rsidP="00A5041B">
      <w:pPr>
        <w:jc w:val="center"/>
      </w:pPr>
    </w:p>
    <w:p w14:paraId="481F80EA" w14:textId="7BA17DF3" w:rsidR="00F826CD" w:rsidRDefault="00F826CD" w:rsidP="00A5041B">
      <w:pPr>
        <w:jc w:val="center"/>
      </w:pPr>
    </w:p>
    <w:p w14:paraId="7D69D786" w14:textId="77777777" w:rsidR="00F826CD" w:rsidRPr="00055C14" w:rsidRDefault="00F826CD" w:rsidP="00A5041B">
      <w:pPr>
        <w:jc w:val="center"/>
      </w:pPr>
    </w:p>
    <w:p w14:paraId="65AAFD59" w14:textId="6377B1FC" w:rsidR="00A5041B" w:rsidRPr="00055C14" w:rsidRDefault="00A5041B" w:rsidP="00DA0543">
      <w:pPr>
        <w:jc w:val="both"/>
      </w:pPr>
      <w:r w:rsidRPr="00055C14">
        <w:t>Galima apibendrintai pasakyti, kad 202</w:t>
      </w:r>
      <w:r w:rsidR="0078138E" w:rsidRPr="00055C14">
        <w:t>1</w:t>
      </w:r>
      <w:r w:rsidRPr="00055C14">
        <w:t>/202</w:t>
      </w:r>
      <w:r w:rsidR="0078138E" w:rsidRPr="00055C14">
        <w:t>2</w:t>
      </w:r>
      <w:r w:rsidRPr="00055C14">
        <w:t xml:space="preserve"> m. šildymo sezono lapkričio, gruodžio, sausio ir vasario ir kovo mėnesių vidutinė </w:t>
      </w:r>
      <w:r w:rsidRPr="00055C14">
        <w:rPr>
          <w:b/>
          <w:bCs/>
        </w:rPr>
        <w:t xml:space="preserve">šilumos </w:t>
      </w:r>
      <w:r w:rsidR="001C0A40">
        <w:rPr>
          <w:b/>
          <w:bCs/>
        </w:rPr>
        <w:t xml:space="preserve">kWh </w:t>
      </w:r>
      <w:r w:rsidRPr="00055C14">
        <w:rPr>
          <w:b/>
          <w:bCs/>
        </w:rPr>
        <w:t xml:space="preserve">kaina buvo apie </w:t>
      </w:r>
      <w:r w:rsidR="0078138E" w:rsidRPr="00055C14">
        <w:rPr>
          <w:b/>
          <w:bCs/>
        </w:rPr>
        <w:t>76</w:t>
      </w:r>
      <w:r w:rsidRPr="00055C14">
        <w:rPr>
          <w:b/>
          <w:bCs/>
        </w:rPr>
        <w:t xml:space="preserve"> procent</w:t>
      </w:r>
      <w:r w:rsidR="0078138E" w:rsidRPr="00055C14">
        <w:rPr>
          <w:b/>
          <w:bCs/>
        </w:rPr>
        <w:t>us didesnė</w:t>
      </w:r>
      <w:r w:rsidRPr="00055C14">
        <w:t xml:space="preserve"> ne</w:t>
      </w:r>
      <w:r w:rsidR="001C0A40">
        <w:t>i</w:t>
      </w:r>
      <w:r w:rsidRPr="00055C14">
        <w:t xml:space="preserve"> prieš metus. </w:t>
      </w:r>
      <w:r w:rsidR="00CB1F17" w:rsidRPr="00055C14">
        <w:t xml:space="preserve">Taigi, šio šildymo sezono išskirtinumas </w:t>
      </w:r>
      <w:r w:rsidR="009C508E">
        <w:t>–</w:t>
      </w:r>
      <w:r w:rsidR="00CB1F17" w:rsidRPr="00055C14">
        <w:t xml:space="preserve"> drastiškas š</w:t>
      </w:r>
      <w:r w:rsidR="00CC19A1" w:rsidRPr="00055C14">
        <w:rPr>
          <w:szCs w:val="24"/>
        </w:rPr>
        <w:t>ilumos kainų šuol</w:t>
      </w:r>
      <w:r w:rsidR="00CB1F17" w:rsidRPr="00055C14">
        <w:rPr>
          <w:szCs w:val="24"/>
        </w:rPr>
        <w:t xml:space="preserve">is, kurį </w:t>
      </w:r>
      <w:r w:rsidR="00CC19A1" w:rsidRPr="00055C14">
        <w:rPr>
          <w:szCs w:val="24"/>
        </w:rPr>
        <w:t>labiausiai nulėmė gamtinių dujų ir biokuro įsigijimo kain</w:t>
      </w:r>
      <w:r w:rsidR="00CB1F17" w:rsidRPr="00055C14">
        <w:rPr>
          <w:szCs w:val="24"/>
        </w:rPr>
        <w:t xml:space="preserve">ų augimas </w:t>
      </w:r>
      <w:r w:rsidR="00CC19A1" w:rsidRPr="00055C14">
        <w:rPr>
          <w:szCs w:val="24"/>
        </w:rPr>
        <w:t xml:space="preserve">energijos išteklių biržose. Pažymėtina, kad vietinis biokuras išlieka </w:t>
      </w:r>
      <w:r w:rsidR="00565F8A">
        <w:rPr>
          <w:szCs w:val="24"/>
        </w:rPr>
        <w:t xml:space="preserve">iki </w:t>
      </w:r>
      <w:r w:rsidR="00CC19A1" w:rsidRPr="00055C14">
        <w:rPr>
          <w:szCs w:val="24"/>
        </w:rPr>
        <w:t>5 kart</w:t>
      </w:r>
      <w:r w:rsidR="00565F8A">
        <w:rPr>
          <w:szCs w:val="24"/>
        </w:rPr>
        <w:t>ų</w:t>
      </w:r>
      <w:r w:rsidR="00CC19A1" w:rsidRPr="00055C14">
        <w:rPr>
          <w:szCs w:val="24"/>
        </w:rPr>
        <w:t xml:space="preserve"> pigesnis už importuojamas gamtines dujas, todėl miestuose, kur biokuro  dalis  didžiausia </w:t>
      </w:r>
      <w:r w:rsidR="00565F8A">
        <w:rPr>
          <w:szCs w:val="24"/>
        </w:rPr>
        <w:t>–</w:t>
      </w:r>
      <w:r w:rsidR="00CB1F17" w:rsidRPr="00055C14">
        <w:rPr>
          <w:szCs w:val="24"/>
        </w:rPr>
        <w:t xml:space="preserve"> </w:t>
      </w:r>
      <w:r w:rsidR="00CC19A1" w:rsidRPr="00055C14">
        <w:rPr>
          <w:szCs w:val="24"/>
        </w:rPr>
        <w:t xml:space="preserve">šilumos kainų augimas buvo daug </w:t>
      </w:r>
      <w:r w:rsidR="00CC19A1" w:rsidRPr="00565F8A">
        <w:rPr>
          <w:i/>
          <w:iCs/>
          <w:szCs w:val="24"/>
        </w:rPr>
        <w:t>švelnesnis</w:t>
      </w:r>
      <w:r w:rsidR="00CB1F17" w:rsidRPr="00055C14">
        <w:rPr>
          <w:szCs w:val="24"/>
        </w:rPr>
        <w:t xml:space="preserve">. </w:t>
      </w:r>
    </w:p>
    <w:p w14:paraId="35AA9F01" w14:textId="1D2522E2" w:rsidR="003A0971" w:rsidRPr="00055C14" w:rsidRDefault="003A0971" w:rsidP="00DA0543">
      <w:pPr>
        <w:jc w:val="both"/>
      </w:pPr>
    </w:p>
    <w:p w14:paraId="34B8026E" w14:textId="5479665D" w:rsidR="009C6232" w:rsidRPr="00055C14" w:rsidRDefault="009C6232" w:rsidP="00DA0543">
      <w:pPr>
        <w:jc w:val="both"/>
      </w:pPr>
      <w:r w:rsidRPr="00055C14">
        <w:rPr>
          <w:rStyle w:val="Strong"/>
          <w:b w:val="0"/>
          <w:bCs w:val="0"/>
          <w:szCs w:val="24"/>
        </w:rPr>
        <w:t xml:space="preserve">Nuo 2022 m. sausio </w:t>
      </w:r>
      <w:r w:rsidR="006D29D1" w:rsidRPr="00055C14">
        <w:rPr>
          <w:rStyle w:val="Strong"/>
          <w:b w:val="0"/>
          <w:bCs w:val="0"/>
          <w:szCs w:val="24"/>
        </w:rPr>
        <w:t xml:space="preserve">mėn. </w:t>
      </w:r>
      <w:r w:rsidR="00565F8A">
        <w:rPr>
          <w:rStyle w:val="Strong"/>
          <w:b w:val="0"/>
          <w:bCs w:val="0"/>
          <w:szCs w:val="24"/>
        </w:rPr>
        <w:t xml:space="preserve">Seimui </w:t>
      </w:r>
      <w:r w:rsidR="00CB1F17" w:rsidRPr="00055C14">
        <w:rPr>
          <w:rStyle w:val="Strong"/>
          <w:b w:val="0"/>
          <w:bCs w:val="0"/>
          <w:szCs w:val="24"/>
        </w:rPr>
        <w:t xml:space="preserve">pakeitus tvarką, </w:t>
      </w:r>
      <w:r w:rsidR="006D29D1" w:rsidRPr="00055C14">
        <w:rPr>
          <w:rStyle w:val="Strong"/>
          <w:b w:val="0"/>
          <w:bCs w:val="0"/>
          <w:szCs w:val="24"/>
        </w:rPr>
        <w:t>k</w:t>
      </w:r>
      <w:r w:rsidRPr="00055C14">
        <w:rPr>
          <w:rStyle w:val="Strong"/>
          <w:b w:val="0"/>
          <w:bCs w:val="0"/>
          <w:szCs w:val="24"/>
        </w:rPr>
        <w:t>ompensacij</w:t>
      </w:r>
      <w:r w:rsidR="00CB1F17" w:rsidRPr="00055C14">
        <w:rPr>
          <w:rStyle w:val="Strong"/>
          <w:b w:val="0"/>
          <w:bCs w:val="0"/>
          <w:szCs w:val="24"/>
        </w:rPr>
        <w:t>as</w:t>
      </w:r>
      <w:r w:rsidRPr="00055C14">
        <w:rPr>
          <w:rStyle w:val="Strong"/>
          <w:b w:val="0"/>
          <w:bCs w:val="0"/>
          <w:szCs w:val="24"/>
        </w:rPr>
        <w:t xml:space="preserve"> už būsto šildymą </w:t>
      </w:r>
      <w:r w:rsidR="006D29D1" w:rsidRPr="00055C14">
        <w:rPr>
          <w:rStyle w:val="Strong"/>
          <w:b w:val="0"/>
          <w:bCs w:val="0"/>
          <w:szCs w:val="24"/>
        </w:rPr>
        <w:t xml:space="preserve">gavo </w:t>
      </w:r>
      <w:r w:rsidRPr="00055C14">
        <w:rPr>
          <w:rStyle w:val="Strong"/>
          <w:b w:val="0"/>
          <w:bCs w:val="0"/>
          <w:szCs w:val="24"/>
        </w:rPr>
        <w:t>daugiau nepasiturinčių vartotojų, todėl</w:t>
      </w:r>
      <w:r w:rsidR="00CB1F17" w:rsidRPr="00055C14">
        <w:rPr>
          <w:rStyle w:val="Strong"/>
          <w:b w:val="0"/>
          <w:bCs w:val="0"/>
          <w:szCs w:val="24"/>
        </w:rPr>
        <w:t>,</w:t>
      </w:r>
      <w:r w:rsidRPr="00055C14">
        <w:rPr>
          <w:rStyle w:val="Strong"/>
          <w:b w:val="0"/>
          <w:bCs w:val="0"/>
          <w:szCs w:val="24"/>
        </w:rPr>
        <w:t xml:space="preserve"> pasinaudoj</w:t>
      </w:r>
      <w:r w:rsidR="00CB1F17" w:rsidRPr="00055C14">
        <w:rPr>
          <w:rStyle w:val="Strong"/>
          <w:b w:val="0"/>
          <w:bCs w:val="0"/>
          <w:szCs w:val="24"/>
        </w:rPr>
        <w:t xml:space="preserve">ę </w:t>
      </w:r>
      <w:r w:rsidRPr="00055C14">
        <w:rPr>
          <w:rStyle w:val="Strong"/>
          <w:b w:val="0"/>
          <w:bCs w:val="0"/>
          <w:szCs w:val="24"/>
        </w:rPr>
        <w:t>valstybės pagalba</w:t>
      </w:r>
      <w:r w:rsidR="00CB1F17" w:rsidRPr="00055C14">
        <w:rPr>
          <w:rStyle w:val="Strong"/>
          <w:b w:val="0"/>
          <w:bCs w:val="0"/>
          <w:szCs w:val="24"/>
        </w:rPr>
        <w:t>,</w:t>
      </w:r>
      <w:r w:rsidRPr="00055C14">
        <w:rPr>
          <w:rStyle w:val="Strong"/>
          <w:b w:val="0"/>
          <w:bCs w:val="0"/>
          <w:szCs w:val="24"/>
        </w:rPr>
        <w:t xml:space="preserve"> mažas pajamas gaunantys</w:t>
      </w:r>
      <w:r w:rsidRPr="00055C14">
        <w:rPr>
          <w:szCs w:val="24"/>
        </w:rPr>
        <w:t xml:space="preserve"> šalies gyventojai </w:t>
      </w:r>
      <w:r w:rsidR="00CB1F17" w:rsidRPr="00055C14">
        <w:rPr>
          <w:szCs w:val="24"/>
        </w:rPr>
        <w:t xml:space="preserve">didelės </w:t>
      </w:r>
      <w:r w:rsidRPr="00055C14">
        <w:rPr>
          <w:szCs w:val="24"/>
        </w:rPr>
        <w:t>papildomos finansinės naštos neturė</w:t>
      </w:r>
      <w:r w:rsidR="006D29D1" w:rsidRPr="00055C14">
        <w:rPr>
          <w:szCs w:val="24"/>
        </w:rPr>
        <w:t>jo</w:t>
      </w:r>
      <w:r w:rsidRPr="00055C14">
        <w:rPr>
          <w:szCs w:val="24"/>
        </w:rPr>
        <w:t xml:space="preserve"> pajusti.</w:t>
      </w:r>
      <w:r w:rsidR="00FF5E57" w:rsidRPr="00055C14">
        <w:rPr>
          <w:szCs w:val="24"/>
        </w:rPr>
        <w:t xml:space="preserve"> Energetinės krizės metu</w:t>
      </w:r>
      <w:r w:rsidR="00565F8A">
        <w:rPr>
          <w:szCs w:val="24"/>
        </w:rPr>
        <w:t xml:space="preserve"> buvo</w:t>
      </w:r>
      <w:r w:rsidR="00FF5E57" w:rsidRPr="00055C14">
        <w:rPr>
          <w:szCs w:val="24"/>
        </w:rPr>
        <w:t xml:space="preserve"> padidinta kompensuojama šildymo išlaidų dalis, nevertintas vartotojų turimas turtas, todėl didesnė dalis šilumos vartotojų galėjo pasinaudoti valstybės parama.  </w:t>
      </w:r>
    </w:p>
    <w:p w14:paraId="26EC5DDF" w14:textId="7FD60BA0" w:rsidR="00A5041B" w:rsidRPr="00055C14" w:rsidRDefault="00A5041B" w:rsidP="00DA0543">
      <w:pPr>
        <w:jc w:val="both"/>
      </w:pPr>
    </w:p>
    <w:p w14:paraId="06B6256D" w14:textId="5A8FF938" w:rsidR="00146FE8" w:rsidRPr="00055C14" w:rsidRDefault="002D5E21" w:rsidP="00DA0543">
      <w:pPr>
        <w:jc w:val="both"/>
      </w:pPr>
      <w:r w:rsidRPr="00055C14">
        <w:rPr>
          <w:szCs w:val="24"/>
        </w:rPr>
        <w:t xml:space="preserve">Papildomą lengvatą </w:t>
      </w:r>
      <w:r w:rsidR="0081177D" w:rsidRPr="00055C14">
        <w:rPr>
          <w:szCs w:val="24"/>
        </w:rPr>
        <w:t xml:space="preserve">buitiniams vartotojams </w:t>
      </w:r>
      <w:r w:rsidR="00F323AB" w:rsidRPr="00055C14">
        <w:rPr>
          <w:szCs w:val="24"/>
        </w:rPr>
        <w:t xml:space="preserve">Seimas </w:t>
      </w:r>
      <w:r w:rsidR="00FF5E57" w:rsidRPr="00055C14">
        <w:rPr>
          <w:szCs w:val="24"/>
        </w:rPr>
        <w:t xml:space="preserve">suteikė </w:t>
      </w:r>
      <w:r w:rsidR="00EA39DE" w:rsidRPr="00055C14">
        <w:rPr>
          <w:szCs w:val="24"/>
        </w:rPr>
        <w:t>2022 m. kovą</w:t>
      </w:r>
      <w:r w:rsidR="00F323AB" w:rsidRPr="00055C14">
        <w:rPr>
          <w:szCs w:val="24"/>
        </w:rPr>
        <w:t>, pakeit</w:t>
      </w:r>
      <w:r w:rsidR="00FF5E57" w:rsidRPr="00055C14">
        <w:rPr>
          <w:szCs w:val="24"/>
        </w:rPr>
        <w:t>ęs</w:t>
      </w:r>
      <w:r w:rsidR="00F323AB" w:rsidRPr="00055C14">
        <w:rPr>
          <w:szCs w:val="24"/>
        </w:rPr>
        <w:t xml:space="preserve"> </w:t>
      </w:r>
      <w:r w:rsidR="00146FE8" w:rsidRPr="00055C14">
        <w:rPr>
          <w:szCs w:val="24"/>
        </w:rPr>
        <w:t>Pridėtinės vertės mokesčio įstatym</w:t>
      </w:r>
      <w:r w:rsidR="00F323AB" w:rsidRPr="00055C14">
        <w:rPr>
          <w:szCs w:val="24"/>
        </w:rPr>
        <w:t>ą</w:t>
      </w:r>
      <w:r w:rsidR="00FF5E57" w:rsidRPr="00055C14">
        <w:rPr>
          <w:szCs w:val="24"/>
        </w:rPr>
        <w:t xml:space="preserve">, kuriuo nutarta </w:t>
      </w:r>
      <w:r w:rsidR="00AB0F8A" w:rsidRPr="00055C14">
        <w:t>9 proc. PVM</w:t>
      </w:r>
      <w:r w:rsidR="00565F8A">
        <w:t xml:space="preserve"> šilumai ir karštam vandeniui</w:t>
      </w:r>
      <w:r w:rsidR="00AB0F8A" w:rsidRPr="00055C14">
        <w:t xml:space="preserve"> laikinai </w:t>
      </w:r>
      <w:r w:rsidR="00565F8A">
        <w:t xml:space="preserve">(sausio – balandžio mėn.) </w:t>
      </w:r>
      <w:r w:rsidR="00AB0F8A" w:rsidRPr="00055C14">
        <w:t xml:space="preserve">dengti  iš valstybės biudžeto. </w:t>
      </w:r>
    </w:p>
    <w:p w14:paraId="60E7535E" w14:textId="77777777" w:rsidR="00194742" w:rsidRPr="00055C14" w:rsidRDefault="00194742" w:rsidP="00DA0543">
      <w:pPr>
        <w:jc w:val="both"/>
      </w:pPr>
    </w:p>
    <w:p w14:paraId="665EFF6B" w14:textId="2EF6B6A3" w:rsidR="00A5041B" w:rsidRPr="00055C14" w:rsidRDefault="00A5041B" w:rsidP="002B7589">
      <w:pPr>
        <w:tabs>
          <w:tab w:val="left" w:pos="9212"/>
        </w:tabs>
        <w:spacing w:after="240"/>
        <w:ind w:right="425"/>
        <w:jc w:val="both"/>
        <w:rPr>
          <w:rFonts w:cs="Times New Roman"/>
          <w:szCs w:val="24"/>
        </w:rPr>
      </w:pPr>
      <w:r w:rsidRPr="00055C14">
        <w:rPr>
          <w:rFonts w:cs="Times New Roman"/>
          <w:szCs w:val="24"/>
        </w:rPr>
        <w:t xml:space="preserve">Preliminariais duomenimis, buto savininkas </w:t>
      </w:r>
      <w:r w:rsidR="00263673">
        <w:rPr>
          <w:rFonts w:cs="Times New Roman"/>
          <w:szCs w:val="24"/>
        </w:rPr>
        <w:t xml:space="preserve">šį šildymo sezoną </w:t>
      </w:r>
      <w:r w:rsidRPr="00055C14">
        <w:rPr>
          <w:rFonts w:cs="Times New Roman"/>
          <w:szCs w:val="24"/>
        </w:rPr>
        <w:t xml:space="preserve">šildymui tipiniuose senos statybos neapšiltintuose daugiabučiuose, kuriuose gyvena dauguma gyventojų, vidutiniškai išleido apie </w:t>
      </w:r>
      <w:r w:rsidR="00A56BCD" w:rsidRPr="00055C14">
        <w:rPr>
          <w:rFonts w:cs="Times New Roman"/>
          <w:szCs w:val="24"/>
        </w:rPr>
        <w:t>1,68</w:t>
      </w:r>
      <w:r w:rsidRPr="00055C14">
        <w:rPr>
          <w:rFonts w:cs="Times New Roman"/>
          <w:szCs w:val="24"/>
        </w:rPr>
        <w:t xml:space="preserve"> </w:t>
      </w:r>
      <w:r w:rsidR="00263673" w:rsidRPr="00055C14">
        <w:rPr>
          <w:rFonts w:cs="Times New Roman"/>
          <w:szCs w:val="24"/>
        </w:rPr>
        <w:t>Eur</w:t>
      </w:r>
      <w:r w:rsidRPr="00055C14">
        <w:rPr>
          <w:rFonts w:cs="Times New Roman"/>
          <w:szCs w:val="24"/>
        </w:rPr>
        <w:t>/m</w:t>
      </w:r>
      <w:r w:rsidRPr="00055C14">
        <w:rPr>
          <w:rFonts w:cs="Times New Roman"/>
          <w:szCs w:val="24"/>
          <w:vertAlign w:val="superscript"/>
        </w:rPr>
        <w:t>2</w:t>
      </w:r>
      <w:r w:rsidR="00986BF8" w:rsidRPr="00055C14">
        <w:rPr>
          <w:rFonts w:cs="Times New Roman"/>
          <w:szCs w:val="24"/>
        </w:rPr>
        <w:t xml:space="preserve">. </w:t>
      </w:r>
      <w:r w:rsidR="00986BF8" w:rsidRPr="00055C14">
        <w:rPr>
          <w:szCs w:val="24"/>
        </w:rPr>
        <w:t xml:space="preserve">Pritaikius PVM kompensaciją – galutiniai mokėjimai </w:t>
      </w:r>
      <w:r w:rsidR="00524C15" w:rsidRPr="00055C14">
        <w:rPr>
          <w:szCs w:val="24"/>
        </w:rPr>
        <w:t xml:space="preserve">vidutiniškai </w:t>
      </w:r>
      <w:r w:rsidR="00986BF8" w:rsidRPr="00055C14">
        <w:rPr>
          <w:szCs w:val="24"/>
        </w:rPr>
        <w:t>sumažėjo iki 1</w:t>
      </w:r>
      <w:r w:rsidR="003F2F58" w:rsidRPr="00055C14">
        <w:rPr>
          <w:szCs w:val="24"/>
        </w:rPr>
        <w:t>,56</w:t>
      </w:r>
      <w:r w:rsidR="00986BF8" w:rsidRPr="00055C14">
        <w:rPr>
          <w:szCs w:val="24"/>
        </w:rPr>
        <w:t xml:space="preserve"> eurų</w:t>
      </w:r>
      <w:r w:rsidR="003F2F58" w:rsidRPr="00055C14">
        <w:rPr>
          <w:rFonts w:cs="Times New Roman"/>
          <w:szCs w:val="24"/>
        </w:rPr>
        <w:t xml:space="preserve"> </w:t>
      </w:r>
      <w:r w:rsidR="00263673" w:rsidRPr="00055C14">
        <w:rPr>
          <w:rFonts w:cs="Times New Roman"/>
          <w:szCs w:val="24"/>
        </w:rPr>
        <w:t>Eur</w:t>
      </w:r>
      <w:r w:rsidR="003F2F58" w:rsidRPr="00055C14">
        <w:rPr>
          <w:rFonts w:cs="Times New Roman"/>
          <w:szCs w:val="24"/>
        </w:rPr>
        <w:t>/m</w:t>
      </w:r>
      <w:r w:rsidR="003F2F58" w:rsidRPr="00055C14">
        <w:rPr>
          <w:rFonts w:cs="Times New Roman"/>
          <w:szCs w:val="24"/>
          <w:vertAlign w:val="superscript"/>
        </w:rPr>
        <w:t>2</w:t>
      </w:r>
      <w:r w:rsidR="003F2F58" w:rsidRPr="00055C14">
        <w:rPr>
          <w:szCs w:val="24"/>
        </w:rPr>
        <w:t xml:space="preserve">, </w:t>
      </w:r>
      <w:r w:rsidR="00FF5E57" w:rsidRPr="00055C14">
        <w:rPr>
          <w:szCs w:val="24"/>
        </w:rPr>
        <w:t xml:space="preserve">kai </w:t>
      </w:r>
      <w:r w:rsidRPr="00055C14">
        <w:rPr>
          <w:rFonts w:cs="Times New Roman"/>
          <w:szCs w:val="24"/>
        </w:rPr>
        <w:t>prieš metus šildymas kainavo apie 0,</w:t>
      </w:r>
      <w:r w:rsidR="00A56BCD" w:rsidRPr="00055C14">
        <w:rPr>
          <w:rFonts w:cs="Times New Roman"/>
          <w:szCs w:val="24"/>
        </w:rPr>
        <w:t>97</w:t>
      </w:r>
      <w:r w:rsidRPr="00055C14">
        <w:rPr>
          <w:rFonts w:cs="Times New Roman"/>
          <w:szCs w:val="24"/>
        </w:rPr>
        <w:t xml:space="preserve"> </w:t>
      </w:r>
      <w:proofErr w:type="spellStart"/>
      <w:r w:rsidR="003F2F58" w:rsidRPr="00055C14">
        <w:rPr>
          <w:rFonts w:cs="Times New Roman"/>
          <w:szCs w:val="24"/>
        </w:rPr>
        <w:t>eur</w:t>
      </w:r>
      <w:proofErr w:type="spellEnd"/>
      <w:r w:rsidRPr="00055C14">
        <w:rPr>
          <w:rFonts w:cs="Times New Roman"/>
          <w:szCs w:val="24"/>
        </w:rPr>
        <w:t>/m</w:t>
      </w:r>
      <w:r w:rsidR="00FF5E57" w:rsidRPr="00055C14">
        <w:rPr>
          <w:rFonts w:cs="Times New Roman"/>
          <w:szCs w:val="24"/>
          <w:vertAlign w:val="superscript"/>
        </w:rPr>
        <w:t>2</w:t>
      </w:r>
      <w:r w:rsidR="003F2F58" w:rsidRPr="00055C14">
        <w:rPr>
          <w:rFonts w:cs="Times New Roman"/>
          <w:szCs w:val="24"/>
        </w:rPr>
        <w:t>. K</w:t>
      </w:r>
      <w:r w:rsidRPr="00055C14">
        <w:rPr>
          <w:rFonts w:cs="Times New Roman"/>
          <w:szCs w:val="24"/>
        </w:rPr>
        <w:t xml:space="preserve">okybiškuose daugiabučiuose </w:t>
      </w:r>
      <w:r w:rsidR="003F2F58" w:rsidRPr="00055C14">
        <w:rPr>
          <w:rFonts w:cs="Times New Roman"/>
          <w:szCs w:val="24"/>
        </w:rPr>
        <w:t xml:space="preserve">šį šildymo sezoną </w:t>
      </w:r>
      <w:r w:rsidR="00B42B0B" w:rsidRPr="00055C14">
        <w:rPr>
          <w:rFonts w:cs="Times New Roman"/>
          <w:szCs w:val="24"/>
        </w:rPr>
        <w:t xml:space="preserve">mokėjimai siekė apie </w:t>
      </w:r>
      <w:r w:rsidRPr="00055C14">
        <w:rPr>
          <w:rFonts w:cs="Times New Roman"/>
          <w:szCs w:val="24"/>
        </w:rPr>
        <w:t>0,</w:t>
      </w:r>
      <w:r w:rsidR="006E66DB" w:rsidRPr="00055C14">
        <w:rPr>
          <w:rFonts w:cs="Times New Roman"/>
          <w:szCs w:val="24"/>
        </w:rPr>
        <w:t>68</w:t>
      </w:r>
      <w:r w:rsidR="009E0ACC" w:rsidRPr="00055C14">
        <w:rPr>
          <w:rFonts w:cs="Times New Roman"/>
          <w:szCs w:val="24"/>
        </w:rPr>
        <w:t xml:space="preserve"> </w:t>
      </w:r>
      <w:proofErr w:type="spellStart"/>
      <w:r w:rsidR="003F2F58" w:rsidRPr="00055C14">
        <w:rPr>
          <w:rFonts w:cs="Times New Roman"/>
          <w:szCs w:val="24"/>
        </w:rPr>
        <w:t>eur</w:t>
      </w:r>
      <w:proofErr w:type="spellEnd"/>
      <w:r w:rsidRPr="00055C14">
        <w:rPr>
          <w:rFonts w:cs="Times New Roman"/>
          <w:szCs w:val="24"/>
        </w:rPr>
        <w:t>/m</w:t>
      </w:r>
      <w:r w:rsidRPr="00055C14">
        <w:rPr>
          <w:rFonts w:cs="Times New Roman"/>
          <w:szCs w:val="24"/>
          <w:vertAlign w:val="superscript"/>
        </w:rPr>
        <w:t>2</w:t>
      </w:r>
      <w:r w:rsidR="00B42B0B" w:rsidRPr="00055C14">
        <w:rPr>
          <w:rFonts w:cs="Times New Roman"/>
          <w:szCs w:val="24"/>
        </w:rPr>
        <w:t xml:space="preserve">, </w:t>
      </w:r>
      <w:r w:rsidR="00524C15" w:rsidRPr="00055C14">
        <w:rPr>
          <w:szCs w:val="24"/>
        </w:rPr>
        <w:t>p</w:t>
      </w:r>
      <w:r w:rsidR="00B42B0B" w:rsidRPr="00055C14">
        <w:rPr>
          <w:szCs w:val="24"/>
        </w:rPr>
        <w:t>ritaikius PVM tarifo kompensaciją –</w:t>
      </w:r>
      <w:r w:rsidR="00E36DF6" w:rsidRPr="00055C14">
        <w:rPr>
          <w:szCs w:val="24"/>
        </w:rPr>
        <w:t xml:space="preserve"> apie </w:t>
      </w:r>
      <w:r w:rsidR="00260ECE" w:rsidRPr="00055C14">
        <w:rPr>
          <w:szCs w:val="24"/>
        </w:rPr>
        <w:t>0,65</w:t>
      </w:r>
      <w:r w:rsidR="00B42B0B" w:rsidRPr="00055C14">
        <w:rPr>
          <w:szCs w:val="24"/>
        </w:rPr>
        <w:t xml:space="preserve"> eurų</w:t>
      </w:r>
      <w:r w:rsidR="00B42B0B" w:rsidRPr="00055C14">
        <w:rPr>
          <w:rFonts w:cs="Times New Roman"/>
          <w:szCs w:val="24"/>
        </w:rPr>
        <w:t xml:space="preserve"> </w:t>
      </w:r>
      <w:proofErr w:type="spellStart"/>
      <w:r w:rsidR="00B42B0B" w:rsidRPr="00055C14">
        <w:rPr>
          <w:rFonts w:cs="Times New Roman"/>
          <w:szCs w:val="24"/>
        </w:rPr>
        <w:t>eur</w:t>
      </w:r>
      <w:proofErr w:type="spellEnd"/>
      <w:r w:rsidR="00B42B0B" w:rsidRPr="00055C14">
        <w:rPr>
          <w:rFonts w:cs="Times New Roman"/>
          <w:szCs w:val="24"/>
        </w:rPr>
        <w:t>/m</w:t>
      </w:r>
      <w:r w:rsidR="00B42B0B" w:rsidRPr="00055C14">
        <w:rPr>
          <w:rFonts w:cs="Times New Roman"/>
          <w:szCs w:val="24"/>
          <w:vertAlign w:val="superscript"/>
        </w:rPr>
        <w:t>2</w:t>
      </w:r>
      <w:r w:rsidR="00B42B0B" w:rsidRPr="00055C14">
        <w:rPr>
          <w:rFonts w:cs="Times New Roman"/>
          <w:szCs w:val="24"/>
        </w:rPr>
        <w:t xml:space="preserve"> </w:t>
      </w:r>
      <w:r w:rsidRPr="00055C14">
        <w:rPr>
          <w:rFonts w:cs="Times New Roman"/>
          <w:szCs w:val="24"/>
        </w:rPr>
        <w:t>(prieš metus mokėjo 0,</w:t>
      </w:r>
      <w:r w:rsidR="006E66DB" w:rsidRPr="00055C14">
        <w:rPr>
          <w:rFonts w:cs="Times New Roman"/>
          <w:szCs w:val="24"/>
        </w:rPr>
        <w:t>40</w:t>
      </w:r>
      <w:r w:rsidRPr="00055C14">
        <w:rPr>
          <w:rFonts w:cs="Times New Roman"/>
          <w:szCs w:val="24"/>
        </w:rPr>
        <w:t xml:space="preserve"> </w:t>
      </w:r>
      <w:proofErr w:type="spellStart"/>
      <w:r w:rsidR="003F2F58" w:rsidRPr="00055C14">
        <w:rPr>
          <w:rFonts w:cs="Times New Roman"/>
          <w:szCs w:val="24"/>
        </w:rPr>
        <w:t>e</w:t>
      </w:r>
      <w:r w:rsidRPr="00055C14">
        <w:rPr>
          <w:rFonts w:cs="Times New Roman"/>
          <w:szCs w:val="24"/>
        </w:rPr>
        <w:t>ur</w:t>
      </w:r>
      <w:proofErr w:type="spellEnd"/>
      <w:r w:rsidRPr="00055C14">
        <w:rPr>
          <w:rFonts w:cs="Times New Roman"/>
          <w:szCs w:val="24"/>
        </w:rPr>
        <w:t>/m</w:t>
      </w:r>
      <w:r w:rsidRPr="00055C14">
        <w:rPr>
          <w:rFonts w:cs="Times New Roman"/>
          <w:szCs w:val="24"/>
          <w:vertAlign w:val="superscript"/>
        </w:rPr>
        <w:t>2</w:t>
      </w:r>
      <w:r w:rsidRPr="00055C14">
        <w:rPr>
          <w:rFonts w:cs="Times New Roman"/>
          <w:szCs w:val="24"/>
        </w:rPr>
        <w:t>.) Žr. lentelę apačioje.</w:t>
      </w:r>
    </w:p>
    <w:p w14:paraId="25E54750" w14:textId="607E2072" w:rsidR="00EE2A3C" w:rsidRDefault="00EE2A3C" w:rsidP="00A5041B">
      <w:pPr>
        <w:spacing w:after="240"/>
        <w:ind w:right="425"/>
        <w:rPr>
          <w:rFonts w:cs="Times New Roman"/>
          <w:szCs w:val="24"/>
        </w:rPr>
      </w:pPr>
    </w:p>
    <w:p w14:paraId="61AF9D7D" w14:textId="2939A9B7" w:rsidR="00F826CD" w:rsidRDefault="00F826CD" w:rsidP="00A5041B">
      <w:pPr>
        <w:spacing w:after="240"/>
        <w:ind w:right="425"/>
        <w:rPr>
          <w:rFonts w:cs="Times New Roman"/>
          <w:szCs w:val="24"/>
        </w:rPr>
      </w:pPr>
    </w:p>
    <w:p w14:paraId="24309B23" w14:textId="77BC5664" w:rsidR="00F826CD" w:rsidRDefault="00F826CD" w:rsidP="00A5041B">
      <w:pPr>
        <w:spacing w:after="240"/>
        <w:ind w:right="425"/>
        <w:rPr>
          <w:rFonts w:cs="Times New Roman"/>
          <w:szCs w:val="24"/>
        </w:rPr>
      </w:pPr>
    </w:p>
    <w:p w14:paraId="0F4B41E0" w14:textId="552AF87A" w:rsidR="00F826CD" w:rsidRDefault="00F826CD" w:rsidP="00A5041B">
      <w:pPr>
        <w:spacing w:after="240"/>
        <w:ind w:right="425"/>
        <w:rPr>
          <w:rFonts w:cs="Times New Roman"/>
          <w:szCs w:val="24"/>
        </w:rPr>
      </w:pPr>
    </w:p>
    <w:p w14:paraId="6C8B52CF" w14:textId="37F4BE05" w:rsidR="00F826CD" w:rsidRDefault="00F826CD" w:rsidP="00A5041B">
      <w:pPr>
        <w:spacing w:after="240"/>
        <w:ind w:right="425"/>
        <w:rPr>
          <w:rFonts w:cs="Times New Roman"/>
          <w:szCs w:val="24"/>
        </w:rPr>
      </w:pPr>
    </w:p>
    <w:p w14:paraId="432A922B" w14:textId="533658FB" w:rsidR="00F826CD" w:rsidRDefault="00F826CD" w:rsidP="00A5041B">
      <w:pPr>
        <w:spacing w:after="240"/>
        <w:ind w:right="425"/>
        <w:rPr>
          <w:rFonts w:cs="Times New Roman"/>
          <w:szCs w:val="24"/>
        </w:rPr>
      </w:pPr>
    </w:p>
    <w:p w14:paraId="67007B75" w14:textId="188D3563" w:rsidR="00F826CD" w:rsidRDefault="00F826CD" w:rsidP="00A5041B">
      <w:pPr>
        <w:spacing w:after="240"/>
        <w:ind w:right="425"/>
        <w:rPr>
          <w:rFonts w:cs="Times New Roman"/>
          <w:szCs w:val="24"/>
        </w:rPr>
      </w:pPr>
    </w:p>
    <w:p w14:paraId="7C45D06E" w14:textId="77777777" w:rsidR="00F826CD" w:rsidRPr="00055C14" w:rsidRDefault="00F826CD" w:rsidP="00A5041B">
      <w:pPr>
        <w:spacing w:after="240"/>
        <w:ind w:right="425"/>
        <w:rPr>
          <w:rFonts w:cs="Times New Roman"/>
          <w:szCs w:val="24"/>
        </w:rPr>
      </w:pPr>
    </w:p>
    <w:p w14:paraId="2F0E8A4E" w14:textId="2CF20D19" w:rsidR="001D0562" w:rsidRPr="00055C14" w:rsidRDefault="00A5041B" w:rsidP="001D0562">
      <w:pPr>
        <w:spacing w:after="240"/>
        <w:jc w:val="center"/>
        <w:rPr>
          <w:rFonts w:cs="Times New Roman"/>
          <w:szCs w:val="24"/>
        </w:rPr>
      </w:pPr>
      <w:r w:rsidRPr="00055C14">
        <w:rPr>
          <w:rFonts w:cs="Times New Roman"/>
          <w:i/>
          <w:iCs/>
          <w:szCs w:val="24"/>
        </w:rPr>
        <w:lastRenderedPageBreak/>
        <w:t xml:space="preserve">Vidutiniai </w:t>
      </w:r>
      <w:r w:rsidR="001D0562" w:rsidRPr="00055C14">
        <w:rPr>
          <w:rFonts w:cs="Times New Roman"/>
          <w:i/>
          <w:iCs/>
          <w:szCs w:val="24"/>
        </w:rPr>
        <w:t xml:space="preserve">mokėjimai už šilumą </w:t>
      </w:r>
      <w:r w:rsidRPr="00055C14">
        <w:rPr>
          <w:rFonts w:cs="Times New Roman"/>
          <w:i/>
          <w:iCs/>
          <w:szCs w:val="24"/>
        </w:rPr>
        <w:t>202</w:t>
      </w:r>
      <w:r w:rsidR="004C68DE" w:rsidRPr="00055C14">
        <w:rPr>
          <w:rFonts w:cs="Times New Roman"/>
          <w:i/>
          <w:iCs/>
          <w:szCs w:val="24"/>
        </w:rPr>
        <w:t>1</w:t>
      </w:r>
      <w:r w:rsidRPr="00055C14">
        <w:rPr>
          <w:rFonts w:cs="Times New Roman"/>
          <w:i/>
          <w:iCs/>
          <w:szCs w:val="24"/>
        </w:rPr>
        <w:t>/202</w:t>
      </w:r>
      <w:r w:rsidR="004C68DE" w:rsidRPr="00055C14">
        <w:rPr>
          <w:rFonts w:cs="Times New Roman"/>
          <w:i/>
          <w:iCs/>
          <w:szCs w:val="24"/>
        </w:rPr>
        <w:t>2</w:t>
      </w:r>
      <w:r w:rsidRPr="00055C14">
        <w:rPr>
          <w:rFonts w:cs="Times New Roman"/>
          <w:i/>
          <w:iCs/>
          <w:szCs w:val="24"/>
        </w:rPr>
        <w:t xml:space="preserve"> metų šildymo sezoną</w:t>
      </w:r>
      <w:r w:rsidR="001D0562" w:rsidRPr="00055C14">
        <w:rPr>
          <w:rFonts w:cs="Times New Roman"/>
          <w:i/>
          <w:iCs/>
          <w:szCs w:val="24"/>
        </w:rPr>
        <w:t>, lyginant su 20</w:t>
      </w:r>
      <w:r w:rsidR="004C68DE" w:rsidRPr="00055C14">
        <w:rPr>
          <w:rFonts w:cs="Times New Roman"/>
          <w:i/>
          <w:iCs/>
          <w:szCs w:val="24"/>
        </w:rPr>
        <w:t>20</w:t>
      </w:r>
      <w:r w:rsidRPr="00055C14">
        <w:rPr>
          <w:rFonts w:cs="Times New Roman"/>
          <w:i/>
          <w:iCs/>
          <w:szCs w:val="24"/>
        </w:rPr>
        <w:t>/20</w:t>
      </w:r>
      <w:r w:rsidR="004C68DE" w:rsidRPr="00055C14">
        <w:rPr>
          <w:rFonts w:cs="Times New Roman"/>
          <w:i/>
          <w:iCs/>
          <w:szCs w:val="24"/>
        </w:rPr>
        <w:t>21</w:t>
      </w:r>
      <w:r w:rsidR="001D0562" w:rsidRPr="00055C14">
        <w:rPr>
          <w:rFonts w:cs="Times New Roman"/>
          <w:i/>
          <w:iCs/>
          <w:szCs w:val="24"/>
        </w:rPr>
        <w:t xml:space="preserve"> m</w:t>
      </w:r>
    </w:p>
    <w:p w14:paraId="5BDCA3DC" w14:textId="3F8C5899" w:rsidR="001D0562" w:rsidRPr="00055C14" w:rsidRDefault="00A233E9" w:rsidP="001D0562">
      <w:pPr>
        <w:jc w:val="center"/>
      </w:pPr>
      <w:r w:rsidRPr="00055C14">
        <w:rPr>
          <w:noProof/>
        </w:rPr>
        <w:drawing>
          <wp:inline distT="0" distB="0" distL="0" distR="0" wp14:anchorId="25E75CE4" wp14:editId="4BF571D1">
            <wp:extent cx="6119495" cy="5730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5730875"/>
                    </a:xfrm>
                    <a:prstGeom prst="rect">
                      <a:avLst/>
                    </a:prstGeom>
                    <a:noFill/>
                    <a:ln>
                      <a:noFill/>
                    </a:ln>
                  </pic:spPr>
                </pic:pic>
              </a:graphicData>
            </a:graphic>
          </wp:inline>
        </w:drawing>
      </w:r>
    </w:p>
    <w:p w14:paraId="3A871161" w14:textId="77777777" w:rsidR="001D0562" w:rsidRPr="00055C14" w:rsidRDefault="001D0562" w:rsidP="001D0562">
      <w:pPr>
        <w:jc w:val="both"/>
      </w:pPr>
    </w:p>
    <w:p w14:paraId="25A85999" w14:textId="282FAE36" w:rsidR="00D47C3D" w:rsidRPr="00055C14" w:rsidRDefault="00F84E47" w:rsidP="00F84E47">
      <w:pPr>
        <w:jc w:val="both"/>
      </w:pPr>
      <w:r w:rsidRPr="00055C14">
        <w:t xml:space="preserve">Patį </w:t>
      </w:r>
      <w:r w:rsidRPr="00055C14">
        <w:rPr>
          <w:u w:val="single"/>
        </w:rPr>
        <w:t xml:space="preserve">didžiausią poveikį </w:t>
      </w:r>
      <w:r w:rsidR="00263673">
        <w:rPr>
          <w:u w:val="single"/>
        </w:rPr>
        <w:t>mokėjimams už šildymą</w:t>
      </w:r>
      <w:r w:rsidRPr="00055C14">
        <w:t xml:space="preserve"> turi atskiro pastato energetinė </w:t>
      </w:r>
      <w:r w:rsidR="00263673">
        <w:t>vertė</w:t>
      </w:r>
      <w:r w:rsidRPr="00055C14">
        <w:t xml:space="preserve">. Didelę įtaką turi ir vidaus vamzdynų sistemos subalansavimas, </w:t>
      </w:r>
      <w:r w:rsidR="000D74A1" w:rsidRPr="00055C14">
        <w:t xml:space="preserve">papildomi prijungti šildymo prietaisai, </w:t>
      </w:r>
      <w:r w:rsidRPr="00055C14">
        <w:t xml:space="preserve">šilumos punkto </w:t>
      </w:r>
      <w:r w:rsidR="000D74A1" w:rsidRPr="00055C14">
        <w:t>automatizavimo lygis</w:t>
      </w:r>
      <w:r w:rsidRPr="00055C14">
        <w:t xml:space="preserve"> ir visą šį ūkį prižiūrinči</w:t>
      </w:r>
      <w:r w:rsidR="00263673">
        <w:t>ų</w:t>
      </w:r>
      <w:r w:rsidRPr="00055C14">
        <w:t xml:space="preserve"> įmon</w:t>
      </w:r>
      <w:r w:rsidR="00263673">
        <w:t>ių</w:t>
      </w:r>
      <w:r w:rsidRPr="00055C14">
        <w:t xml:space="preserve"> ar asm</w:t>
      </w:r>
      <w:r w:rsidR="00263673">
        <w:t>enų</w:t>
      </w:r>
      <w:r w:rsidRPr="00055C14">
        <w:t xml:space="preserve"> kvalifikacija </w:t>
      </w:r>
      <w:r w:rsidR="000D74A1" w:rsidRPr="00055C14">
        <w:t>bei p</w:t>
      </w:r>
      <w:r w:rsidRPr="00055C14">
        <w:t>astangos.</w:t>
      </w:r>
      <w:r w:rsidR="00D47C3D" w:rsidRPr="00055C14">
        <w:t xml:space="preserve"> Deja, bet dar didelė dalis daugiabučių naudojasi sovietinio tipo </w:t>
      </w:r>
      <w:proofErr w:type="spellStart"/>
      <w:r w:rsidR="00D47C3D" w:rsidRPr="00055C14">
        <w:t>elevatoriniais</w:t>
      </w:r>
      <w:proofErr w:type="spellEnd"/>
      <w:r w:rsidR="00D47C3D" w:rsidRPr="00055C14">
        <w:t xml:space="preserve"> šilumos punktais, kurie esant teigiamoms temperatūroms mažai reaguoja į klimatines sąlygas, todėl tokie namai dažnai perkaitinami</w:t>
      </w:r>
      <w:r w:rsidR="00263673">
        <w:t xml:space="preserve">, kas dar labiau </w:t>
      </w:r>
      <w:r w:rsidR="00263673" w:rsidRPr="00263673">
        <w:rPr>
          <w:i/>
          <w:iCs/>
        </w:rPr>
        <w:t>išpučia</w:t>
      </w:r>
      <w:r w:rsidR="00263673">
        <w:t xml:space="preserve"> šilumos sąskaitas.</w:t>
      </w:r>
    </w:p>
    <w:p w14:paraId="0361D6A8" w14:textId="77777777" w:rsidR="00D47C3D" w:rsidRPr="00055C14" w:rsidRDefault="00D47C3D" w:rsidP="00F84E47">
      <w:pPr>
        <w:jc w:val="both"/>
      </w:pPr>
    </w:p>
    <w:p w14:paraId="4590243F" w14:textId="77777777" w:rsidR="00EE2A3C" w:rsidRPr="00055C14" w:rsidRDefault="00EE2A3C" w:rsidP="00F84E47">
      <w:pPr>
        <w:jc w:val="both"/>
      </w:pPr>
    </w:p>
    <w:p w14:paraId="1DE43FE1" w14:textId="02078729" w:rsidR="00E3155C" w:rsidRPr="00055C14" w:rsidRDefault="00E3155C" w:rsidP="00E3155C">
      <w:pPr>
        <w:jc w:val="both"/>
      </w:pPr>
      <w:r w:rsidRPr="00055C14">
        <w:t>Balandžio antroje pusėje, kaip įprasta, baigiasi savivaldybių organizuojamas šildymo sezonas, tačiau šilumos tiekimas iki kiekvieno pastato vyksta ištisus metus, tad jo valdytojai gali įsijungti ar išsijungti šildymą bet kuriuo metu, jeigu taip nusprendžia dauguma bendraturčių</w:t>
      </w:r>
      <w:r w:rsidR="00263673">
        <w:t>, n</w:t>
      </w:r>
      <w:r w:rsidRPr="00055C14">
        <w:t>epažei</w:t>
      </w:r>
      <w:r w:rsidR="00263673">
        <w:t>sdami</w:t>
      </w:r>
      <w:r w:rsidRPr="00055C14">
        <w:t xml:space="preserve"> atskirų vartotojų interesų. </w:t>
      </w:r>
    </w:p>
    <w:p w14:paraId="39B6EF9C" w14:textId="77777777" w:rsidR="00D55F93" w:rsidRPr="00055C14" w:rsidRDefault="00D55F93" w:rsidP="00E3155C">
      <w:pPr>
        <w:jc w:val="both"/>
      </w:pPr>
    </w:p>
    <w:p w14:paraId="5873643E" w14:textId="77777777" w:rsidR="00E3155C" w:rsidRPr="00055C14" w:rsidRDefault="00E3155C" w:rsidP="00E3155C">
      <w:pPr>
        <w:jc w:val="both"/>
      </w:pPr>
    </w:p>
    <w:p w14:paraId="639090DE" w14:textId="3C12754E" w:rsidR="00F55EA1" w:rsidRPr="00055C14" w:rsidRDefault="00F55EA1" w:rsidP="00F84E47">
      <w:pPr>
        <w:jc w:val="both"/>
      </w:pPr>
    </w:p>
    <w:p w14:paraId="6E251A82" w14:textId="2076CF76" w:rsidR="00F01C76" w:rsidRPr="00055C14" w:rsidRDefault="00F01C76" w:rsidP="00F84E47">
      <w:pPr>
        <w:jc w:val="both"/>
      </w:pPr>
    </w:p>
    <w:p w14:paraId="09019A71" w14:textId="77777777" w:rsidR="00F01C76" w:rsidRPr="00055C14" w:rsidRDefault="00F01C76" w:rsidP="00F84E47">
      <w:pPr>
        <w:jc w:val="both"/>
      </w:pPr>
    </w:p>
    <w:p w14:paraId="5B41D98D" w14:textId="77777777" w:rsidR="001D0562" w:rsidRPr="00055C14" w:rsidRDefault="001D0562" w:rsidP="00F84E47">
      <w:pPr>
        <w:jc w:val="both"/>
      </w:pPr>
    </w:p>
    <w:sectPr w:rsidR="001D0562" w:rsidRPr="00055C14"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AD"/>
    <w:rsid w:val="00017F73"/>
    <w:rsid w:val="0005510C"/>
    <w:rsid w:val="00055C14"/>
    <w:rsid w:val="000A078A"/>
    <w:rsid w:val="000B7FFC"/>
    <w:rsid w:val="000D74A1"/>
    <w:rsid w:val="000D74AD"/>
    <w:rsid w:val="000F44BC"/>
    <w:rsid w:val="0011644C"/>
    <w:rsid w:val="00146FE8"/>
    <w:rsid w:val="001644A4"/>
    <w:rsid w:val="00194742"/>
    <w:rsid w:val="001970B6"/>
    <w:rsid w:val="001C0A40"/>
    <w:rsid w:val="001D0562"/>
    <w:rsid w:val="002058B1"/>
    <w:rsid w:val="0021212A"/>
    <w:rsid w:val="00225613"/>
    <w:rsid w:val="002306DE"/>
    <w:rsid w:val="00260ECE"/>
    <w:rsid w:val="00263673"/>
    <w:rsid w:val="002A2032"/>
    <w:rsid w:val="002B5247"/>
    <w:rsid w:val="002B7289"/>
    <w:rsid w:val="002B7589"/>
    <w:rsid w:val="002C5D32"/>
    <w:rsid w:val="002D5E21"/>
    <w:rsid w:val="003110BD"/>
    <w:rsid w:val="0033151E"/>
    <w:rsid w:val="00334FF4"/>
    <w:rsid w:val="00335361"/>
    <w:rsid w:val="003475FA"/>
    <w:rsid w:val="003A0971"/>
    <w:rsid w:val="003E40F7"/>
    <w:rsid w:val="003E7603"/>
    <w:rsid w:val="003F2F58"/>
    <w:rsid w:val="00402A96"/>
    <w:rsid w:val="00446DEE"/>
    <w:rsid w:val="0045516F"/>
    <w:rsid w:val="004734AC"/>
    <w:rsid w:val="00476071"/>
    <w:rsid w:val="004820AA"/>
    <w:rsid w:val="004B5CFC"/>
    <w:rsid w:val="004C68DE"/>
    <w:rsid w:val="004D5547"/>
    <w:rsid w:val="004D55AF"/>
    <w:rsid w:val="0050321D"/>
    <w:rsid w:val="00524C15"/>
    <w:rsid w:val="005370D6"/>
    <w:rsid w:val="0054735D"/>
    <w:rsid w:val="005517D9"/>
    <w:rsid w:val="00556A42"/>
    <w:rsid w:val="00565F8A"/>
    <w:rsid w:val="005734B5"/>
    <w:rsid w:val="005B4681"/>
    <w:rsid w:val="005F5BD0"/>
    <w:rsid w:val="00624C57"/>
    <w:rsid w:val="00637D0F"/>
    <w:rsid w:val="00670762"/>
    <w:rsid w:val="006A07D8"/>
    <w:rsid w:val="006C58B3"/>
    <w:rsid w:val="006D29D1"/>
    <w:rsid w:val="006D6310"/>
    <w:rsid w:val="006E66DB"/>
    <w:rsid w:val="00717EE2"/>
    <w:rsid w:val="00730112"/>
    <w:rsid w:val="0073294A"/>
    <w:rsid w:val="00771159"/>
    <w:rsid w:val="0078138E"/>
    <w:rsid w:val="00787364"/>
    <w:rsid w:val="00792709"/>
    <w:rsid w:val="007B06A2"/>
    <w:rsid w:val="007E1F09"/>
    <w:rsid w:val="00802B48"/>
    <w:rsid w:val="0081177D"/>
    <w:rsid w:val="008540F2"/>
    <w:rsid w:val="00862F3C"/>
    <w:rsid w:val="0088608F"/>
    <w:rsid w:val="0090374B"/>
    <w:rsid w:val="00931AAD"/>
    <w:rsid w:val="00944487"/>
    <w:rsid w:val="00961A42"/>
    <w:rsid w:val="00986BF8"/>
    <w:rsid w:val="0099155F"/>
    <w:rsid w:val="00995EEA"/>
    <w:rsid w:val="00996109"/>
    <w:rsid w:val="009C508E"/>
    <w:rsid w:val="009C6232"/>
    <w:rsid w:val="009C6A8A"/>
    <w:rsid w:val="009D216B"/>
    <w:rsid w:val="009E0ACC"/>
    <w:rsid w:val="00A0316D"/>
    <w:rsid w:val="00A164AC"/>
    <w:rsid w:val="00A233E9"/>
    <w:rsid w:val="00A25C9E"/>
    <w:rsid w:val="00A5041B"/>
    <w:rsid w:val="00A56BCD"/>
    <w:rsid w:val="00A74B59"/>
    <w:rsid w:val="00AA4F70"/>
    <w:rsid w:val="00AB0F8A"/>
    <w:rsid w:val="00AB176E"/>
    <w:rsid w:val="00AB1BFB"/>
    <w:rsid w:val="00AF1279"/>
    <w:rsid w:val="00B07E7F"/>
    <w:rsid w:val="00B33CCE"/>
    <w:rsid w:val="00B42B0B"/>
    <w:rsid w:val="00B624DB"/>
    <w:rsid w:val="00B70047"/>
    <w:rsid w:val="00B826EB"/>
    <w:rsid w:val="00B86DE4"/>
    <w:rsid w:val="00B961AD"/>
    <w:rsid w:val="00BF26EC"/>
    <w:rsid w:val="00BF4101"/>
    <w:rsid w:val="00C0090F"/>
    <w:rsid w:val="00C02F5D"/>
    <w:rsid w:val="00C16A98"/>
    <w:rsid w:val="00C53B94"/>
    <w:rsid w:val="00C7409A"/>
    <w:rsid w:val="00C94DF4"/>
    <w:rsid w:val="00CA79E4"/>
    <w:rsid w:val="00CB1F17"/>
    <w:rsid w:val="00CB7ACD"/>
    <w:rsid w:val="00CC0629"/>
    <w:rsid w:val="00CC19A1"/>
    <w:rsid w:val="00CD0E0C"/>
    <w:rsid w:val="00CF4A3F"/>
    <w:rsid w:val="00D47C3D"/>
    <w:rsid w:val="00D55F93"/>
    <w:rsid w:val="00D60B14"/>
    <w:rsid w:val="00D86573"/>
    <w:rsid w:val="00DA0543"/>
    <w:rsid w:val="00DC05F6"/>
    <w:rsid w:val="00DC77C9"/>
    <w:rsid w:val="00DD7DED"/>
    <w:rsid w:val="00E14FE4"/>
    <w:rsid w:val="00E16AA2"/>
    <w:rsid w:val="00E3155C"/>
    <w:rsid w:val="00E36DF6"/>
    <w:rsid w:val="00E41C2F"/>
    <w:rsid w:val="00E540C5"/>
    <w:rsid w:val="00E664FF"/>
    <w:rsid w:val="00E84641"/>
    <w:rsid w:val="00E91793"/>
    <w:rsid w:val="00EA39DE"/>
    <w:rsid w:val="00EE19C2"/>
    <w:rsid w:val="00EE2A3C"/>
    <w:rsid w:val="00EF560F"/>
    <w:rsid w:val="00F01C76"/>
    <w:rsid w:val="00F04ECE"/>
    <w:rsid w:val="00F17DC2"/>
    <w:rsid w:val="00F323AB"/>
    <w:rsid w:val="00F55EA1"/>
    <w:rsid w:val="00F626E7"/>
    <w:rsid w:val="00F72F4C"/>
    <w:rsid w:val="00F826CD"/>
    <w:rsid w:val="00F82EA1"/>
    <w:rsid w:val="00F84E47"/>
    <w:rsid w:val="00F92495"/>
    <w:rsid w:val="00FB79F0"/>
    <w:rsid w:val="00FD2799"/>
    <w:rsid w:val="00FE0749"/>
    <w:rsid w:val="00FF1071"/>
    <w:rsid w:val="00FF2A58"/>
    <w:rsid w:val="00FF44D7"/>
    <w:rsid w:val="00FF5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7D99"/>
  <w15:chartTrackingRefBased/>
  <w15:docId w15:val="{A70AD73D-14D9-4137-BB3F-71EF964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98"/>
    <w:rPr>
      <w:rFonts w:ascii="Segoe UI" w:hAnsi="Segoe UI" w:cs="Segoe UI"/>
      <w:sz w:val="18"/>
      <w:szCs w:val="18"/>
    </w:rPr>
  </w:style>
  <w:style w:type="character" w:styleId="Hyperlink">
    <w:name w:val="Hyperlink"/>
    <w:rsid w:val="00EE2A3C"/>
    <w:rPr>
      <w:color w:val="0000FF"/>
      <w:u w:val="single"/>
    </w:rPr>
  </w:style>
  <w:style w:type="character" w:styleId="Strong">
    <w:name w:val="Strong"/>
    <w:uiPriority w:val="22"/>
    <w:qFormat/>
    <w:rsid w:val="009C6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574">
      <w:bodyDiv w:val="1"/>
      <w:marLeft w:val="0"/>
      <w:marRight w:val="0"/>
      <w:marTop w:val="0"/>
      <w:marBottom w:val="0"/>
      <w:divBdr>
        <w:top w:val="none" w:sz="0" w:space="0" w:color="auto"/>
        <w:left w:val="none" w:sz="0" w:space="0" w:color="auto"/>
        <w:bottom w:val="none" w:sz="0" w:space="0" w:color="auto"/>
        <w:right w:val="none" w:sz="0" w:space="0" w:color="auto"/>
      </w:divBdr>
    </w:div>
    <w:div w:id="1846822297">
      <w:bodyDiv w:val="1"/>
      <w:marLeft w:val="0"/>
      <w:marRight w:val="0"/>
      <w:marTop w:val="0"/>
      <w:marBottom w:val="0"/>
      <w:divBdr>
        <w:top w:val="none" w:sz="0" w:space="0" w:color="auto"/>
        <w:left w:val="none" w:sz="0" w:space="0" w:color="auto"/>
        <w:bottom w:val="none" w:sz="0" w:space="0" w:color="auto"/>
        <w:right w:val="none" w:sz="0" w:space="0" w:color="auto"/>
      </w:divBdr>
    </w:div>
    <w:div w:id="18968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5E3D-D04E-4BF3-9E42-8243FF8F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4655</Words>
  <Characters>2654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6</cp:revision>
  <cp:lastPrinted>2021-04-27T09:54:00Z</cp:lastPrinted>
  <dcterms:created xsi:type="dcterms:W3CDTF">2022-04-26T11:00:00Z</dcterms:created>
  <dcterms:modified xsi:type="dcterms:W3CDTF">2022-05-16T07:27:00Z</dcterms:modified>
</cp:coreProperties>
</file>