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0B2D" w14:textId="5205E9CE" w:rsidR="000A1521" w:rsidRDefault="000A1521" w:rsidP="000A1521">
      <w:pPr>
        <w:jc w:val="right"/>
        <w:rPr>
          <w:rFonts w:ascii="Calibri" w:eastAsia="Calibri" w:hAnsi="Calibri" w:cs="Calibri"/>
          <w:i/>
          <w:iCs/>
          <w:sz w:val="22"/>
        </w:rPr>
      </w:pPr>
      <w:r w:rsidRPr="000A1521">
        <w:rPr>
          <w:rFonts w:ascii="Calibri" w:eastAsia="Calibri" w:hAnsi="Calibri" w:cs="Calibri"/>
          <w:i/>
          <w:iCs/>
          <w:sz w:val="22"/>
        </w:rPr>
        <w:t xml:space="preserve">LŠTA pasiūlymai </w:t>
      </w:r>
      <w:r>
        <w:rPr>
          <w:rFonts w:ascii="Calibri" w:eastAsia="Calibri" w:hAnsi="Calibri" w:cs="Calibri"/>
          <w:i/>
          <w:iCs/>
          <w:sz w:val="22"/>
        </w:rPr>
        <w:t>d</w:t>
      </w:r>
      <w:r w:rsidRPr="000A1521">
        <w:rPr>
          <w:rFonts w:ascii="Calibri" w:eastAsia="Calibri" w:hAnsi="Calibri" w:cs="Calibri"/>
          <w:i/>
          <w:iCs/>
          <w:sz w:val="22"/>
        </w:rPr>
        <w:t>augiabučių namų vidaus šildymo ir karšto vandens sistemų modernizavim</w:t>
      </w:r>
      <w:r>
        <w:rPr>
          <w:rFonts w:ascii="Calibri" w:eastAsia="Calibri" w:hAnsi="Calibri" w:cs="Calibri"/>
          <w:i/>
          <w:iCs/>
          <w:sz w:val="22"/>
        </w:rPr>
        <w:t xml:space="preserve">ui skatinti </w:t>
      </w:r>
      <w:r w:rsidRPr="000A1521">
        <w:rPr>
          <w:rFonts w:ascii="Calibri" w:eastAsia="Calibri" w:hAnsi="Calibri" w:cs="Calibri"/>
          <w:i/>
          <w:iCs/>
          <w:sz w:val="22"/>
        </w:rPr>
        <w:t>2021-10-05</w:t>
      </w:r>
    </w:p>
    <w:p w14:paraId="47E76DB6" w14:textId="1468ABD9" w:rsidR="000A1521" w:rsidRDefault="000A1521" w:rsidP="000A1521">
      <w:pPr>
        <w:jc w:val="right"/>
        <w:rPr>
          <w:rFonts w:ascii="Calibri" w:eastAsia="Calibri" w:hAnsi="Calibri" w:cs="Calibri"/>
          <w:i/>
          <w:iCs/>
          <w:sz w:val="22"/>
        </w:rPr>
      </w:pPr>
    </w:p>
    <w:p w14:paraId="0E955750" w14:textId="77777777" w:rsidR="000A1521" w:rsidRDefault="000A1521" w:rsidP="000A1521">
      <w:pPr>
        <w:jc w:val="right"/>
        <w:rPr>
          <w:rFonts w:ascii="Calibri" w:eastAsia="Calibri" w:hAnsi="Calibri" w:cs="Calibri"/>
          <w:i/>
          <w:iCs/>
          <w:sz w:val="22"/>
        </w:rPr>
      </w:pPr>
    </w:p>
    <w:p w14:paraId="249A1D1D" w14:textId="475BB442" w:rsidR="000A1521" w:rsidRDefault="000A1521" w:rsidP="000A1521">
      <w:pPr>
        <w:jc w:val="left"/>
        <w:rPr>
          <w:rFonts w:ascii="Calibri" w:eastAsia="Calibri" w:hAnsi="Calibri" w:cs="Calibri"/>
          <w:sz w:val="22"/>
        </w:rPr>
      </w:pPr>
    </w:p>
    <w:p w14:paraId="241F0FD6" w14:textId="187DA566" w:rsidR="000A1521" w:rsidRPr="000A1521" w:rsidRDefault="000A1521" w:rsidP="000A1521">
      <w:pPr>
        <w:pStyle w:val="ListParagraph"/>
        <w:numPr>
          <w:ilvl w:val="0"/>
          <w:numId w:val="2"/>
        </w:numPr>
        <w:jc w:val="left"/>
        <w:rPr>
          <w:rFonts w:ascii="Calibri" w:eastAsia="Calibri" w:hAnsi="Calibri" w:cs="Calibri"/>
          <w:b/>
          <w:bCs/>
          <w:szCs w:val="24"/>
        </w:rPr>
      </w:pPr>
      <w:r w:rsidRPr="000A1521">
        <w:rPr>
          <w:rFonts w:ascii="Calibri" w:eastAsia="Calibri" w:hAnsi="Calibri" w:cs="Calibri"/>
          <w:b/>
          <w:bCs/>
          <w:szCs w:val="24"/>
        </w:rPr>
        <w:t xml:space="preserve">Mažosios renovacijos skatinimas pagal dabartinį APVA/BETA organizacinį modelį  </w:t>
      </w:r>
    </w:p>
    <w:p w14:paraId="2E2066A2" w14:textId="77777777" w:rsidR="000A1521" w:rsidRPr="000A1521" w:rsidRDefault="000A1521" w:rsidP="000A1521">
      <w:pPr>
        <w:jc w:val="left"/>
        <w:rPr>
          <w:rFonts w:ascii="Calibri" w:eastAsia="Calibri" w:hAnsi="Calibri" w:cs="Calibri"/>
          <w:sz w:val="22"/>
        </w:rPr>
      </w:pPr>
    </w:p>
    <w:p w14:paraId="24DEA2D5" w14:textId="5588E0A4" w:rsidR="00870542" w:rsidRDefault="00870542" w:rsidP="00BA1A4C">
      <w:pPr>
        <w:numPr>
          <w:ilvl w:val="0"/>
          <w:numId w:val="1"/>
        </w:numPr>
        <w:rPr>
          <w:rFonts w:ascii="Calibri" w:eastAsia="Times New Roman" w:hAnsi="Calibri" w:cs="Calibri"/>
          <w:sz w:val="22"/>
        </w:rPr>
      </w:pPr>
      <w:r w:rsidRPr="00870542">
        <w:rPr>
          <w:rFonts w:ascii="Calibri" w:eastAsia="Times New Roman" w:hAnsi="Calibri" w:cs="Calibri"/>
          <w:sz w:val="22"/>
        </w:rPr>
        <w:t xml:space="preserve">Mažosios renovacijos </w:t>
      </w:r>
      <w:r>
        <w:rPr>
          <w:rFonts w:ascii="Calibri" w:eastAsia="Times New Roman" w:hAnsi="Calibri" w:cs="Calibri"/>
          <w:sz w:val="22"/>
        </w:rPr>
        <w:t>(MR)</w:t>
      </w:r>
      <w:r w:rsidR="00B5243B">
        <w:rPr>
          <w:rFonts w:ascii="Calibri" w:eastAsia="Times New Roman" w:hAnsi="Calibri" w:cs="Calibri"/>
          <w:sz w:val="22"/>
        </w:rPr>
        <w:t xml:space="preserve">, </w:t>
      </w:r>
      <w:proofErr w:type="spellStart"/>
      <w:r w:rsidR="00B5243B" w:rsidRPr="00B5243B">
        <w:rPr>
          <w:rFonts w:ascii="Calibri" w:eastAsia="Times New Roman" w:hAnsi="Calibri" w:cs="Calibri"/>
          <w:sz w:val="22"/>
          <w:highlight w:val="yellow"/>
        </w:rPr>
        <w:t>t.y</w:t>
      </w:r>
      <w:proofErr w:type="spellEnd"/>
      <w:r w:rsidR="00B5243B" w:rsidRPr="00B5243B">
        <w:rPr>
          <w:rFonts w:ascii="Calibri" w:eastAsia="Times New Roman" w:hAnsi="Calibri" w:cs="Calibri"/>
          <w:sz w:val="22"/>
          <w:highlight w:val="yellow"/>
        </w:rPr>
        <w:t>. vidaus šildymo ir karšto vandens sistemų modernizavimo</w:t>
      </w:r>
      <w:r>
        <w:rPr>
          <w:rFonts w:ascii="Calibri" w:eastAsia="Times New Roman" w:hAnsi="Calibri" w:cs="Calibri"/>
          <w:sz w:val="22"/>
        </w:rPr>
        <w:t xml:space="preserve"> </w:t>
      </w:r>
      <w:r w:rsidRPr="00870542">
        <w:rPr>
          <w:rFonts w:ascii="Calibri" w:eastAsia="Times New Roman" w:hAnsi="Calibri" w:cs="Calibri"/>
          <w:b/>
          <w:bCs/>
          <w:sz w:val="22"/>
        </w:rPr>
        <w:t xml:space="preserve">kompensacines išlaidas skirti kaip </w:t>
      </w:r>
      <w:r w:rsidRPr="00870542">
        <w:rPr>
          <w:rFonts w:ascii="Calibri" w:eastAsia="Times New Roman" w:hAnsi="Calibri" w:cs="Calibri"/>
          <w:b/>
          <w:bCs/>
          <w:sz w:val="22"/>
          <w:u w:val="single"/>
        </w:rPr>
        <w:t>fiksuotą</w:t>
      </w:r>
      <w:r w:rsidRPr="00870542">
        <w:rPr>
          <w:rFonts w:ascii="Calibri" w:eastAsia="Times New Roman" w:hAnsi="Calibri" w:cs="Calibri"/>
          <w:b/>
          <w:bCs/>
          <w:sz w:val="22"/>
        </w:rPr>
        <w:t xml:space="preserve"> lėšų dydį</w:t>
      </w:r>
      <w:r w:rsidR="00BA1A4C">
        <w:rPr>
          <w:rFonts w:ascii="Calibri" w:eastAsia="Times New Roman" w:hAnsi="Calibri" w:cs="Calibri"/>
          <w:b/>
          <w:bCs/>
          <w:sz w:val="22"/>
        </w:rPr>
        <w:t>,</w:t>
      </w:r>
      <w:r>
        <w:rPr>
          <w:rFonts w:ascii="Calibri" w:eastAsia="Times New Roman" w:hAnsi="Calibri" w:cs="Calibri"/>
          <w:sz w:val="22"/>
        </w:rPr>
        <w:t xml:space="preserve"> naudojant kriterijų EUR/m2 (pastato ploto vienetui), pagal renovacijos tipą (apimtį): šilumos punkto (ŠP) modernizavimas, šildymo stovų subalansavimo įrenginiai, individuali šilumos apskaita ir reguliavimas ar pan.</w:t>
      </w:r>
      <w:r w:rsidR="00491014">
        <w:rPr>
          <w:rFonts w:ascii="Calibri" w:eastAsia="Times New Roman" w:hAnsi="Calibri" w:cs="Calibri"/>
          <w:sz w:val="22"/>
        </w:rPr>
        <w:t xml:space="preserve"> Didesnis įkainis skiriamas prioritetinėms energetinio efektyvinimo priemonėms. </w:t>
      </w:r>
      <w:r>
        <w:rPr>
          <w:rFonts w:ascii="Calibri" w:eastAsia="Times New Roman" w:hAnsi="Calibri" w:cs="Calibri"/>
          <w:sz w:val="22"/>
        </w:rPr>
        <w:t xml:space="preserve">Tokios sistemos administravimas daug paprastesnis, </w:t>
      </w:r>
      <w:r w:rsidR="00491014">
        <w:rPr>
          <w:rFonts w:ascii="Calibri" w:eastAsia="Times New Roman" w:hAnsi="Calibri" w:cs="Calibri"/>
          <w:sz w:val="22"/>
        </w:rPr>
        <w:t xml:space="preserve">būtų skatinama taupiau ir tikslingiau naudoti nekompensuojamos išlaidas, geresnė paskata renovuoti didelius pastatus, kur energijos sutaupymo potencialas didesnis.  </w:t>
      </w:r>
      <w:r>
        <w:rPr>
          <w:rFonts w:ascii="Calibri" w:eastAsia="Times New Roman" w:hAnsi="Calibri" w:cs="Calibri"/>
          <w:sz w:val="22"/>
        </w:rPr>
        <w:t xml:space="preserve">      </w:t>
      </w:r>
    </w:p>
    <w:p w14:paraId="2C0E31EA" w14:textId="4F8B0F81" w:rsidR="000A1521" w:rsidRPr="000A1521" w:rsidRDefault="000A1521" w:rsidP="00BA1A4C">
      <w:pPr>
        <w:numPr>
          <w:ilvl w:val="0"/>
          <w:numId w:val="1"/>
        </w:numPr>
        <w:rPr>
          <w:rFonts w:ascii="Calibri" w:eastAsia="Times New Roman" w:hAnsi="Calibri" w:cs="Calibri"/>
          <w:sz w:val="22"/>
        </w:rPr>
      </w:pPr>
      <w:r w:rsidRPr="000A1521">
        <w:rPr>
          <w:rFonts w:ascii="Calibri" w:eastAsia="Times New Roman" w:hAnsi="Calibri" w:cs="Calibri"/>
          <w:b/>
          <w:bCs/>
          <w:sz w:val="22"/>
        </w:rPr>
        <w:t>Kompensaci</w:t>
      </w:r>
      <w:r w:rsidR="00FD3E15" w:rsidRPr="00870542">
        <w:rPr>
          <w:rFonts w:ascii="Calibri" w:eastAsia="Times New Roman" w:hAnsi="Calibri" w:cs="Calibri"/>
          <w:b/>
          <w:bCs/>
          <w:sz w:val="22"/>
        </w:rPr>
        <w:t>jos už padarytą renovaciją spartesnis išmokėjimas</w:t>
      </w:r>
      <w:r w:rsidR="00FD3E15" w:rsidRPr="00870542">
        <w:rPr>
          <w:rFonts w:ascii="Calibri" w:eastAsia="Times New Roman" w:hAnsi="Calibri" w:cs="Calibri"/>
          <w:sz w:val="22"/>
        </w:rPr>
        <w:t xml:space="preserve"> - griežtai per nustatytą protingą laikotarpį. Ilgos ir sudėtingos administracinės procedūros </w:t>
      </w:r>
      <w:r w:rsidRPr="000A1521">
        <w:rPr>
          <w:rFonts w:ascii="Calibri" w:eastAsia="Times New Roman" w:hAnsi="Calibri" w:cs="Calibri"/>
          <w:sz w:val="22"/>
        </w:rPr>
        <w:t xml:space="preserve">apsunkina </w:t>
      </w:r>
      <w:r w:rsidR="00FD3E15" w:rsidRPr="00870542">
        <w:rPr>
          <w:rFonts w:ascii="Calibri" w:eastAsia="Times New Roman" w:hAnsi="Calibri" w:cs="Calibri"/>
          <w:sz w:val="22"/>
        </w:rPr>
        <w:t xml:space="preserve">projektų įgyvendinimą, priverčia skolintis </w:t>
      </w:r>
      <w:r w:rsidRPr="000A1521">
        <w:rPr>
          <w:rFonts w:ascii="Calibri" w:eastAsia="Times New Roman" w:hAnsi="Calibri" w:cs="Calibri"/>
          <w:sz w:val="22"/>
        </w:rPr>
        <w:t>apyvartinių lėšų, kurių reikia atsiskaitymui su rangovais ir už prekes. BETA delsia pervesti kompensacines išmokas po kelis mėnesius.</w:t>
      </w:r>
    </w:p>
    <w:p w14:paraId="379DA86A" w14:textId="71D9FC77" w:rsidR="000A1521" w:rsidRPr="000A1521" w:rsidRDefault="000A1521" w:rsidP="00BA1A4C">
      <w:pPr>
        <w:numPr>
          <w:ilvl w:val="0"/>
          <w:numId w:val="1"/>
        </w:numPr>
        <w:rPr>
          <w:rFonts w:ascii="Calibri" w:eastAsia="Times New Roman" w:hAnsi="Calibri" w:cs="Calibri"/>
          <w:sz w:val="22"/>
        </w:rPr>
      </w:pPr>
      <w:r w:rsidRPr="000A1521">
        <w:rPr>
          <w:rFonts w:ascii="Calibri" w:eastAsia="Times New Roman" w:hAnsi="Calibri" w:cs="Calibri"/>
          <w:sz w:val="22"/>
        </w:rPr>
        <w:t xml:space="preserve">Sudaryti sąlygas </w:t>
      </w:r>
      <w:r w:rsidRPr="000A1521">
        <w:rPr>
          <w:rFonts w:ascii="Calibri" w:eastAsia="Times New Roman" w:hAnsi="Calibri" w:cs="Calibri"/>
          <w:b/>
          <w:bCs/>
          <w:sz w:val="22"/>
        </w:rPr>
        <w:t xml:space="preserve">pareiškėjams gauti lengvatinį kreditą </w:t>
      </w:r>
      <w:r w:rsidRPr="000A1521">
        <w:rPr>
          <w:rFonts w:ascii="Calibri" w:eastAsia="Times New Roman" w:hAnsi="Calibri" w:cs="Calibri"/>
          <w:sz w:val="22"/>
        </w:rPr>
        <w:t xml:space="preserve">su </w:t>
      </w:r>
      <w:r w:rsidRPr="000A1521">
        <w:rPr>
          <w:rFonts w:ascii="Calibri" w:eastAsia="Times New Roman" w:hAnsi="Calibri" w:cs="Calibri"/>
          <w:b/>
          <w:bCs/>
          <w:sz w:val="22"/>
        </w:rPr>
        <w:t xml:space="preserve">fiksuotomis palūkanomis. </w:t>
      </w:r>
      <w:r w:rsidRPr="000A1521">
        <w:rPr>
          <w:rFonts w:ascii="Calibri" w:eastAsia="Times New Roman" w:hAnsi="Calibri" w:cs="Calibri"/>
          <w:sz w:val="22"/>
        </w:rPr>
        <w:t>Nei bendrija, nei šilumos tiekėjas negali pasiskolinti iš VIPA fondų.</w:t>
      </w:r>
      <w:r w:rsidR="00FD3E15">
        <w:rPr>
          <w:rFonts w:ascii="Calibri" w:eastAsia="Times New Roman" w:hAnsi="Calibri" w:cs="Calibri"/>
          <w:sz w:val="22"/>
        </w:rPr>
        <w:t xml:space="preserve"> Vartotojams netinka kintamos palūkanos – jas reikia užfiksuoti, valstybės draudimo fondo pagalba ar pan.  </w:t>
      </w:r>
    </w:p>
    <w:p w14:paraId="3652AC25" w14:textId="0CCCBC69" w:rsidR="000A1521" w:rsidRPr="000A1521" w:rsidRDefault="000A1521" w:rsidP="00831C25">
      <w:pPr>
        <w:numPr>
          <w:ilvl w:val="0"/>
          <w:numId w:val="1"/>
        </w:numPr>
        <w:rPr>
          <w:rFonts w:ascii="Calibri" w:eastAsia="Times New Roman" w:hAnsi="Calibri" w:cs="Calibri"/>
          <w:sz w:val="22"/>
        </w:rPr>
      </w:pPr>
      <w:r w:rsidRPr="000A1521">
        <w:rPr>
          <w:rFonts w:ascii="Calibri" w:eastAsia="Times New Roman" w:hAnsi="Calibri" w:cs="Calibri"/>
          <w:b/>
          <w:bCs/>
          <w:sz w:val="22"/>
        </w:rPr>
        <w:t xml:space="preserve">Šilumos tiekėjas </w:t>
      </w:r>
      <w:r w:rsidRPr="000A1521">
        <w:rPr>
          <w:rFonts w:ascii="Calibri" w:eastAsia="Times New Roman" w:hAnsi="Calibri" w:cs="Calibri"/>
          <w:sz w:val="22"/>
        </w:rPr>
        <w:t xml:space="preserve">galėtų būti tiek pareiškėjas, tiek </w:t>
      </w:r>
      <w:r w:rsidRPr="000A1521">
        <w:rPr>
          <w:rFonts w:ascii="Calibri" w:eastAsia="Times New Roman" w:hAnsi="Calibri" w:cs="Calibri"/>
          <w:b/>
          <w:bCs/>
          <w:sz w:val="22"/>
        </w:rPr>
        <w:t xml:space="preserve">finansinės paramos gavėjas. </w:t>
      </w:r>
      <w:r w:rsidR="00870542" w:rsidRPr="00870542">
        <w:rPr>
          <w:rFonts w:ascii="Calibri" w:eastAsia="Times New Roman" w:hAnsi="Calibri" w:cs="Calibri"/>
          <w:sz w:val="22"/>
        </w:rPr>
        <w:t xml:space="preserve">Dabartinis administravimas </w:t>
      </w:r>
      <w:r w:rsidRPr="000A1521">
        <w:rPr>
          <w:rFonts w:ascii="Calibri" w:eastAsia="Times New Roman" w:hAnsi="Calibri" w:cs="Calibri"/>
          <w:sz w:val="22"/>
        </w:rPr>
        <w:t>apsunkin</w:t>
      </w:r>
      <w:r w:rsidR="00870542">
        <w:rPr>
          <w:rFonts w:ascii="Calibri" w:eastAsia="Times New Roman" w:hAnsi="Calibri" w:cs="Calibri"/>
          <w:sz w:val="22"/>
        </w:rPr>
        <w:t xml:space="preserve">tas ir rizikingas, nes </w:t>
      </w:r>
      <w:r w:rsidRPr="000A1521">
        <w:rPr>
          <w:rFonts w:ascii="Calibri" w:eastAsia="Times New Roman" w:hAnsi="Calibri" w:cs="Calibri"/>
          <w:sz w:val="22"/>
        </w:rPr>
        <w:t xml:space="preserve">kyla rizika atgauti pinigus pareiškėjui, kai jis investuoja savo lėšas: BETA kompensaciją perveda bendrijai (administratoriui), </w:t>
      </w:r>
      <w:r w:rsidR="00870542">
        <w:rPr>
          <w:rFonts w:ascii="Calibri" w:eastAsia="Times New Roman" w:hAnsi="Calibri" w:cs="Calibri"/>
          <w:sz w:val="22"/>
        </w:rPr>
        <w:t xml:space="preserve">o </w:t>
      </w:r>
      <w:r w:rsidRPr="000A1521">
        <w:rPr>
          <w:rFonts w:ascii="Calibri" w:eastAsia="Times New Roman" w:hAnsi="Calibri" w:cs="Calibri"/>
          <w:sz w:val="22"/>
        </w:rPr>
        <w:t>šilumos tiekėj</w:t>
      </w:r>
      <w:r w:rsidR="00870542">
        <w:rPr>
          <w:rFonts w:ascii="Calibri" w:eastAsia="Times New Roman" w:hAnsi="Calibri" w:cs="Calibri"/>
          <w:sz w:val="22"/>
        </w:rPr>
        <w:t xml:space="preserve">as gali neatgauti. </w:t>
      </w:r>
      <w:r w:rsidRPr="000A1521">
        <w:rPr>
          <w:rFonts w:ascii="Calibri" w:eastAsia="Times New Roman" w:hAnsi="Calibri" w:cs="Calibri"/>
          <w:sz w:val="22"/>
        </w:rPr>
        <w:t>T</w:t>
      </w:r>
      <w:r w:rsidR="00870542">
        <w:rPr>
          <w:rFonts w:ascii="Calibri" w:eastAsia="Times New Roman" w:hAnsi="Calibri" w:cs="Calibri"/>
          <w:sz w:val="22"/>
        </w:rPr>
        <w:t xml:space="preserve">ikslinės lėšos turi būti panaudojamos tikslingai ir be tarpinių operacijų. </w:t>
      </w:r>
    </w:p>
    <w:p w14:paraId="7D7A0D8F" w14:textId="7B29A2F7" w:rsidR="00870542" w:rsidRDefault="000A1521" w:rsidP="00831C25">
      <w:pPr>
        <w:numPr>
          <w:ilvl w:val="0"/>
          <w:numId w:val="1"/>
        </w:numPr>
        <w:rPr>
          <w:rFonts w:ascii="Calibri" w:eastAsia="Times New Roman" w:hAnsi="Calibri" w:cs="Calibri"/>
          <w:sz w:val="22"/>
        </w:rPr>
      </w:pPr>
      <w:r w:rsidRPr="000A1521">
        <w:rPr>
          <w:rFonts w:ascii="Calibri" w:eastAsia="Times New Roman" w:hAnsi="Calibri" w:cs="Calibri"/>
          <w:b/>
          <w:bCs/>
          <w:sz w:val="22"/>
        </w:rPr>
        <w:t xml:space="preserve">100 proc. kompensuoti </w:t>
      </w:r>
      <w:r w:rsidRPr="000A1521">
        <w:rPr>
          <w:rFonts w:ascii="Calibri" w:eastAsia="Times New Roman" w:hAnsi="Calibri" w:cs="Calibri"/>
          <w:sz w:val="22"/>
        </w:rPr>
        <w:t xml:space="preserve">projektinės </w:t>
      </w:r>
      <w:r w:rsidRPr="000A1521">
        <w:rPr>
          <w:rFonts w:ascii="Calibri" w:eastAsia="Times New Roman" w:hAnsi="Calibri" w:cs="Calibri"/>
          <w:b/>
          <w:bCs/>
          <w:sz w:val="22"/>
        </w:rPr>
        <w:t>dokumentacijos parengimą</w:t>
      </w:r>
      <w:r w:rsidRPr="000A1521">
        <w:rPr>
          <w:rFonts w:ascii="Calibri" w:eastAsia="Times New Roman" w:hAnsi="Calibri" w:cs="Calibri"/>
          <w:sz w:val="22"/>
        </w:rPr>
        <w:t xml:space="preserve"> (Paprastojo remonto aprašą, kt. dokumentus)</w:t>
      </w:r>
      <w:r w:rsidR="00870542" w:rsidRPr="00870542">
        <w:rPr>
          <w:rFonts w:ascii="Calibri" w:eastAsia="Times New Roman" w:hAnsi="Calibri" w:cs="Calibri"/>
          <w:sz w:val="22"/>
        </w:rPr>
        <w:t xml:space="preserve">. Taip pastato valdytojas </w:t>
      </w:r>
      <w:r w:rsidR="00171ABD">
        <w:rPr>
          <w:rFonts w:ascii="Calibri" w:eastAsia="Times New Roman" w:hAnsi="Calibri" w:cs="Calibri"/>
          <w:sz w:val="22"/>
        </w:rPr>
        <w:t xml:space="preserve">ar kitas subjektas </w:t>
      </w:r>
      <w:r w:rsidR="00870542" w:rsidRPr="00870542">
        <w:rPr>
          <w:rFonts w:ascii="Calibri" w:eastAsia="Times New Roman" w:hAnsi="Calibri" w:cs="Calibri"/>
          <w:sz w:val="22"/>
        </w:rPr>
        <w:t>būtų labiau suinteresuotas pradėti MR</w:t>
      </w:r>
      <w:r w:rsidR="00171ABD">
        <w:rPr>
          <w:rFonts w:ascii="Calibri" w:eastAsia="Times New Roman" w:hAnsi="Calibri" w:cs="Calibri"/>
          <w:sz w:val="22"/>
        </w:rPr>
        <w:t xml:space="preserve"> procesą, o pastato bendraturčiai turėdami projektinę dokumentaciją </w:t>
      </w:r>
      <w:r w:rsidR="00171ABD" w:rsidRPr="00171ABD">
        <w:rPr>
          <w:rFonts w:ascii="Calibri" w:eastAsia="Times New Roman" w:hAnsi="Calibri" w:cs="Calibri"/>
          <w:sz w:val="22"/>
          <w:u w:val="single"/>
        </w:rPr>
        <w:t>galėtų efektyviau ieškoti rangovų ir tartis dėl MR</w:t>
      </w:r>
      <w:r w:rsidR="00171ABD">
        <w:rPr>
          <w:rFonts w:ascii="Calibri" w:eastAsia="Times New Roman" w:hAnsi="Calibri" w:cs="Calibri"/>
          <w:sz w:val="22"/>
        </w:rPr>
        <w:t>, nerizikuodami prarasti įdėtų lėšų, jeigu negautų paramos proces</w:t>
      </w:r>
      <w:r w:rsidR="00831C25">
        <w:rPr>
          <w:rFonts w:ascii="Calibri" w:eastAsia="Times New Roman" w:hAnsi="Calibri" w:cs="Calibri"/>
          <w:sz w:val="22"/>
        </w:rPr>
        <w:t>ui</w:t>
      </w:r>
      <w:r w:rsidR="00171ABD">
        <w:rPr>
          <w:rFonts w:ascii="Calibri" w:eastAsia="Times New Roman" w:hAnsi="Calibri" w:cs="Calibri"/>
          <w:sz w:val="22"/>
        </w:rPr>
        <w:t xml:space="preserve"> sustot</w:t>
      </w:r>
      <w:r w:rsidR="00831C25">
        <w:rPr>
          <w:rFonts w:ascii="Calibri" w:eastAsia="Times New Roman" w:hAnsi="Calibri" w:cs="Calibri"/>
          <w:sz w:val="22"/>
        </w:rPr>
        <w:t>us</w:t>
      </w:r>
      <w:r w:rsidR="00171ABD">
        <w:rPr>
          <w:rFonts w:ascii="Calibri" w:eastAsia="Times New Roman" w:hAnsi="Calibri" w:cs="Calibri"/>
          <w:sz w:val="22"/>
        </w:rPr>
        <w:t xml:space="preserve"> ar panašiai.</w:t>
      </w:r>
      <w:r w:rsidR="00870542" w:rsidRPr="00870542">
        <w:rPr>
          <w:rFonts w:ascii="Calibri" w:eastAsia="Times New Roman" w:hAnsi="Calibri" w:cs="Calibri"/>
          <w:sz w:val="22"/>
        </w:rPr>
        <w:t xml:space="preserve"> </w:t>
      </w:r>
    </w:p>
    <w:p w14:paraId="0B70A867" w14:textId="77777777" w:rsidR="001D26E5" w:rsidRDefault="00171ABD" w:rsidP="00831C25">
      <w:pPr>
        <w:numPr>
          <w:ilvl w:val="0"/>
          <w:numId w:val="1"/>
        </w:numPr>
        <w:rPr>
          <w:rFonts w:ascii="Calibri" w:eastAsia="Times New Roman" w:hAnsi="Calibri" w:cs="Calibri"/>
          <w:sz w:val="22"/>
        </w:rPr>
      </w:pPr>
      <w:r>
        <w:rPr>
          <w:rFonts w:ascii="Calibri" w:eastAsia="Times New Roman" w:hAnsi="Calibri" w:cs="Calibri"/>
          <w:b/>
          <w:bCs/>
          <w:sz w:val="22"/>
        </w:rPr>
        <w:t>1</w:t>
      </w:r>
      <w:r w:rsidR="000A1521" w:rsidRPr="000A1521">
        <w:rPr>
          <w:rFonts w:ascii="Calibri" w:eastAsia="Times New Roman" w:hAnsi="Calibri" w:cs="Calibri"/>
          <w:b/>
          <w:bCs/>
          <w:sz w:val="22"/>
        </w:rPr>
        <w:t xml:space="preserve">00 proc. kompensuoti </w:t>
      </w:r>
      <w:r w:rsidR="000A1521" w:rsidRPr="000A1521">
        <w:rPr>
          <w:rFonts w:ascii="Calibri" w:eastAsia="Times New Roman" w:hAnsi="Calibri" w:cs="Calibri"/>
          <w:sz w:val="22"/>
        </w:rPr>
        <w:t xml:space="preserve">projekto </w:t>
      </w:r>
      <w:r w:rsidR="000A1521" w:rsidRPr="000A1521">
        <w:rPr>
          <w:rFonts w:ascii="Calibri" w:eastAsia="Times New Roman" w:hAnsi="Calibri" w:cs="Calibri"/>
          <w:b/>
          <w:bCs/>
          <w:sz w:val="22"/>
        </w:rPr>
        <w:t xml:space="preserve">administravimo išlaidas. </w:t>
      </w:r>
      <w:r w:rsidR="000A1521" w:rsidRPr="000A1521">
        <w:rPr>
          <w:rFonts w:ascii="Calibri" w:eastAsia="Times New Roman" w:hAnsi="Calibri" w:cs="Calibri"/>
          <w:sz w:val="22"/>
        </w:rPr>
        <w:t>Į administravimo išlaidas įtraukti skatinamąjį pelningumą paraiškos teikėjui.</w:t>
      </w:r>
      <w:r>
        <w:rPr>
          <w:rFonts w:ascii="Calibri" w:eastAsia="Times New Roman" w:hAnsi="Calibri" w:cs="Calibri"/>
          <w:sz w:val="22"/>
        </w:rPr>
        <w:t xml:space="preserve"> Tai paskatintų daugiau ūkio subjektų dalyvauti MR kampanijoje, nes tai būtų finansiškai saug</w:t>
      </w:r>
      <w:r w:rsidR="001D26E5">
        <w:rPr>
          <w:rFonts w:ascii="Calibri" w:eastAsia="Times New Roman" w:hAnsi="Calibri" w:cs="Calibri"/>
          <w:sz w:val="22"/>
        </w:rPr>
        <w:t>ia</w:t>
      </w:r>
      <w:r>
        <w:rPr>
          <w:rFonts w:ascii="Calibri" w:eastAsia="Times New Roman" w:hAnsi="Calibri" w:cs="Calibri"/>
          <w:sz w:val="22"/>
        </w:rPr>
        <w:t>u ir patikim</w:t>
      </w:r>
      <w:r w:rsidR="001D26E5">
        <w:rPr>
          <w:rFonts w:ascii="Calibri" w:eastAsia="Times New Roman" w:hAnsi="Calibri" w:cs="Calibri"/>
          <w:sz w:val="22"/>
        </w:rPr>
        <w:t>i</w:t>
      </w:r>
      <w:r>
        <w:rPr>
          <w:rFonts w:ascii="Calibri" w:eastAsia="Times New Roman" w:hAnsi="Calibri" w:cs="Calibri"/>
          <w:sz w:val="22"/>
        </w:rPr>
        <w:t>a</w:t>
      </w:r>
      <w:r w:rsidR="001D26E5">
        <w:rPr>
          <w:rFonts w:ascii="Calibri" w:eastAsia="Times New Roman" w:hAnsi="Calibri" w:cs="Calibri"/>
          <w:sz w:val="22"/>
        </w:rPr>
        <w:t>u</w:t>
      </w:r>
      <w:r>
        <w:rPr>
          <w:rFonts w:ascii="Calibri" w:eastAsia="Times New Roman" w:hAnsi="Calibri" w:cs="Calibri"/>
          <w:sz w:val="22"/>
        </w:rPr>
        <w:t>. Atsirastų didesnė konkurencija tarp MR vykdytojų.</w:t>
      </w:r>
    </w:p>
    <w:p w14:paraId="7BF930A9" w14:textId="2308BB96" w:rsidR="001D26E5" w:rsidRPr="001D26E5" w:rsidRDefault="001D26E5" w:rsidP="00831C25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22"/>
        </w:rPr>
      </w:pPr>
      <w:r w:rsidRPr="00992ADA">
        <w:rPr>
          <w:rFonts w:ascii="Calibri" w:eastAsia="Times New Roman" w:hAnsi="Calibri" w:cs="Calibri"/>
          <w:b/>
          <w:bCs/>
          <w:sz w:val="22"/>
        </w:rPr>
        <w:t xml:space="preserve">Suteikti teisę </w:t>
      </w:r>
      <w:r w:rsidR="00992ADA" w:rsidRPr="00992ADA">
        <w:rPr>
          <w:rFonts w:ascii="Calibri" w:eastAsia="Times New Roman" w:hAnsi="Calibri" w:cs="Calibri"/>
          <w:b/>
          <w:bCs/>
          <w:sz w:val="22"/>
        </w:rPr>
        <w:t xml:space="preserve">ir sąlygas </w:t>
      </w:r>
      <w:r w:rsidRPr="00992ADA">
        <w:rPr>
          <w:rFonts w:ascii="Calibri" w:eastAsia="Times New Roman" w:hAnsi="Calibri" w:cs="Calibri"/>
          <w:b/>
          <w:bCs/>
          <w:sz w:val="22"/>
        </w:rPr>
        <w:t>šilumos tiekėjui</w:t>
      </w:r>
      <w:r>
        <w:rPr>
          <w:rFonts w:ascii="Calibri" w:eastAsia="Times New Roman" w:hAnsi="Calibri" w:cs="Calibri"/>
          <w:sz w:val="22"/>
        </w:rPr>
        <w:t xml:space="preserve">, kaip galimam </w:t>
      </w:r>
      <w:r w:rsidR="00992ADA">
        <w:rPr>
          <w:rFonts w:ascii="Calibri" w:eastAsia="Times New Roman" w:hAnsi="Calibri" w:cs="Calibri"/>
          <w:sz w:val="22"/>
        </w:rPr>
        <w:t xml:space="preserve">MR </w:t>
      </w:r>
      <w:r w:rsidRPr="001D26E5">
        <w:rPr>
          <w:rFonts w:ascii="Calibri" w:eastAsia="Times New Roman" w:hAnsi="Calibri" w:cs="Calibri"/>
          <w:sz w:val="22"/>
        </w:rPr>
        <w:t>paraiškos teikėjui</w:t>
      </w:r>
      <w:r>
        <w:rPr>
          <w:rFonts w:ascii="Calibri" w:eastAsia="Times New Roman" w:hAnsi="Calibri" w:cs="Calibri"/>
          <w:sz w:val="22"/>
        </w:rPr>
        <w:t xml:space="preserve">, </w:t>
      </w:r>
      <w:r w:rsidRPr="001D26E5">
        <w:rPr>
          <w:rFonts w:ascii="Calibri" w:eastAsia="Times New Roman" w:hAnsi="Calibri" w:cs="Calibri"/>
          <w:sz w:val="22"/>
        </w:rPr>
        <w:t>organizuoti bendrasavininkų susirinkimą</w:t>
      </w:r>
      <w:r w:rsidR="00992ADA">
        <w:rPr>
          <w:rFonts w:ascii="Calibri" w:eastAsia="Times New Roman" w:hAnsi="Calibri" w:cs="Calibri"/>
          <w:sz w:val="22"/>
        </w:rPr>
        <w:t xml:space="preserve"> ir </w:t>
      </w:r>
      <w:r w:rsidRPr="00992ADA">
        <w:rPr>
          <w:rFonts w:ascii="Calibri" w:eastAsia="Times New Roman" w:hAnsi="Calibri" w:cs="Calibri"/>
          <w:b/>
          <w:bCs/>
          <w:sz w:val="22"/>
        </w:rPr>
        <w:t>pristaty</w:t>
      </w:r>
      <w:r w:rsidR="00992ADA" w:rsidRPr="00992ADA">
        <w:rPr>
          <w:rFonts w:ascii="Calibri" w:eastAsia="Times New Roman" w:hAnsi="Calibri" w:cs="Calibri"/>
          <w:b/>
          <w:bCs/>
          <w:sz w:val="22"/>
        </w:rPr>
        <w:t>ti informaciją apie pastato būklę ir pateikti siūlymus dėl renovacijos galimybių</w:t>
      </w:r>
      <w:r w:rsidR="00992ADA">
        <w:rPr>
          <w:rFonts w:ascii="Calibri" w:eastAsia="Times New Roman" w:hAnsi="Calibri" w:cs="Calibri"/>
          <w:sz w:val="22"/>
        </w:rPr>
        <w:t xml:space="preserve"> bei </w:t>
      </w:r>
      <w:r w:rsidRPr="001D26E5">
        <w:rPr>
          <w:rFonts w:ascii="Calibri" w:eastAsia="Times New Roman" w:hAnsi="Calibri" w:cs="Calibri"/>
          <w:sz w:val="22"/>
        </w:rPr>
        <w:t xml:space="preserve">sprendimų priėmimui. Šiuo metu, jei bendrija nesuinteresuota, </w:t>
      </w:r>
      <w:r w:rsidR="00992ADA">
        <w:rPr>
          <w:rFonts w:ascii="Calibri" w:eastAsia="Times New Roman" w:hAnsi="Calibri" w:cs="Calibri"/>
          <w:sz w:val="22"/>
        </w:rPr>
        <w:t xml:space="preserve">o </w:t>
      </w:r>
      <w:r w:rsidR="00992ADA" w:rsidRPr="00992ADA">
        <w:rPr>
          <w:rFonts w:ascii="Calibri" w:eastAsia="Times New Roman" w:hAnsi="Calibri" w:cs="Calibri"/>
          <w:sz w:val="22"/>
          <w:u w:val="single"/>
        </w:rPr>
        <w:t xml:space="preserve">administratorius bijo </w:t>
      </w:r>
      <w:r w:rsidR="00992ADA">
        <w:rPr>
          <w:rFonts w:ascii="Calibri" w:eastAsia="Times New Roman" w:hAnsi="Calibri" w:cs="Calibri"/>
          <w:sz w:val="22"/>
          <w:u w:val="single"/>
        </w:rPr>
        <w:t xml:space="preserve">šilumos tiekėjo </w:t>
      </w:r>
      <w:r w:rsidR="00992ADA" w:rsidRPr="00992ADA">
        <w:rPr>
          <w:rFonts w:ascii="Calibri" w:eastAsia="Times New Roman" w:hAnsi="Calibri" w:cs="Calibri"/>
          <w:sz w:val="22"/>
          <w:u w:val="single"/>
        </w:rPr>
        <w:t>konkurencijos</w:t>
      </w:r>
      <w:r w:rsidR="00992ADA">
        <w:rPr>
          <w:rFonts w:ascii="Calibri" w:eastAsia="Times New Roman" w:hAnsi="Calibri" w:cs="Calibri"/>
          <w:sz w:val="22"/>
          <w:u w:val="single"/>
        </w:rPr>
        <w:t>,</w:t>
      </w:r>
      <w:r w:rsidR="00992ADA">
        <w:rPr>
          <w:rFonts w:ascii="Calibri" w:eastAsia="Times New Roman" w:hAnsi="Calibri" w:cs="Calibri"/>
          <w:sz w:val="22"/>
        </w:rPr>
        <w:t xml:space="preserve"> </w:t>
      </w:r>
      <w:r w:rsidRPr="001D26E5">
        <w:rPr>
          <w:rFonts w:ascii="Calibri" w:eastAsia="Times New Roman" w:hAnsi="Calibri" w:cs="Calibri"/>
          <w:sz w:val="22"/>
        </w:rPr>
        <w:t>gyventojų nepasiekia</w:t>
      </w:r>
      <w:r w:rsidR="00992ADA">
        <w:rPr>
          <w:rFonts w:ascii="Calibri" w:eastAsia="Times New Roman" w:hAnsi="Calibri" w:cs="Calibri"/>
          <w:sz w:val="22"/>
        </w:rPr>
        <w:t xml:space="preserve"> detali </w:t>
      </w:r>
      <w:r w:rsidRPr="001D26E5">
        <w:rPr>
          <w:rFonts w:ascii="Calibri" w:eastAsia="Times New Roman" w:hAnsi="Calibri" w:cs="Calibri"/>
          <w:sz w:val="22"/>
        </w:rPr>
        <w:t>informacija apie „mažosios renovacijos“ galimyb</w:t>
      </w:r>
      <w:r w:rsidR="00992ADA">
        <w:rPr>
          <w:rFonts w:ascii="Calibri" w:eastAsia="Times New Roman" w:hAnsi="Calibri" w:cs="Calibri"/>
          <w:sz w:val="22"/>
        </w:rPr>
        <w:t xml:space="preserve">es. </w:t>
      </w:r>
      <w:r w:rsidRPr="001D26E5">
        <w:rPr>
          <w:rFonts w:ascii="Calibri" w:eastAsia="Times New Roman" w:hAnsi="Calibri" w:cs="Calibri"/>
          <w:sz w:val="22"/>
        </w:rPr>
        <w:t xml:space="preserve">Šilumos tiekėjas (paraiškos teikėjas) bendrijos ar administratoriaus geranoriškumu kviečiamas tik svečio teisėmis. </w:t>
      </w:r>
    </w:p>
    <w:p w14:paraId="113615BE" w14:textId="4C720D17" w:rsidR="00EE3FE1" w:rsidRDefault="00992ADA" w:rsidP="001D26E5">
      <w:pPr>
        <w:numPr>
          <w:ilvl w:val="0"/>
          <w:numId w:val="1"/>
        </w:numPr>
        <w:jc w:val="left"/>
        <w:rPr>
          <w:rFonts w:ascii="Calibri" w:eastAsia="Times New Roman" w:hAnsi="Calibri" w:cs="Calibri"/>
          <w:sz w:val="22"/>
        </w:rPr>
      </w:pPr>
      <w:r w:rsidRPr="00992ADA">
        <w:rPr>
          <w:rFonts w:ascii="Calibri" w:eastAsia="Times New Roman" w:hAnsi="Calibri" w:cs="Calibri"/>
          <w:b/>
          <w:bCs/>
          <w:sz w:val="22"/>
        </w:rPr>
        <w:t>Įpareigoti pastatų valdytojus</w:t>
      </w:r>
      <w:r>
        <w:rPr>
          <w:rFonts w:ascii="Calibri" w:eastAsia="Times New Roman" w:hAnsi="Calibri" w:cs="Calibri"/>
          <w:sz w:val="22"/>
        </w:rPr>
        <w:t xml:space="preserve"> (vidaus sistemų prižiūrėtojus) kasmet realiai informuoti šilumos vartotojus apie jų pastato energetinį efektyvumą ir apie MR galimybes. Efektyvią kontrolę turėtų atlikti VERT ir savivaldybių administracija pagal savo kompetenciją. </w:t>
      </w:r>
    </w:p>
    <w:p w14:paraId="09BC9B30" w14:textId="0289FEFD" w:rsidR="00EE3FE1" w:rsidRPr="00EE3FE1" w:rsidRDefault="00EE3FE1" w:rsidP="00EE3FE1">
      <w:pPr>
        <w:pStyle w:val="ListParagraph"/>
        <w:numPr>
          <w:ilvl w:val="0"/>
          <w:numId w:val="1"/>
        </w:numPr>
        <w:rPr>
          <w:rFonts w:ascii="Calibri" w:eastAsia="Times New Roman" w:hAnsi="Calibri" w:cs="Calibri"/>
          <w:sz w:val="22"/>
        </w:rPr>
      </w:pPr>
      <w:r w:rsidRPr="00EE3FE1">
        <w:rPr>
          <w:rFonts w:ascii="Calibri" w:eastAsia="Times New Roman" w:hAnsi="Calibri" w:cs="Calibri"/>
          <w:b/>
          <w:bCs/>
          <w:sz w:val="22"/>
        </w:rPr>
        <w:t>Apmokėti nepasiturintiems gyventojams</w:t>
      </w:r>
      <w:r w:rsidRPr="00EE3FE1">
        <w:rPr>
          <w:rFonts w:ascii="Calibri" w:eastAsia="Times New Roman" w:hAnsi="Calibri" w:cs="Calibri"/>
          <w:sz w:val="22"/>
        </w:rPr>
        <w:t xml:space="preserve"> tenkančias projekto įgyvendinimo </w:t>
      </w:r>
      <w:r w:rsidRPr="00EE3FE1">
        <w:rPr>
          <w:rFonts w:ascii="Calibri" w:eastAsia="Times New Roman" w:hAnsi="Calibri" w:cs="Calibri"/>
          <w:b/>
          <w:bCs/>
          <w:sz w:val="22"/>
        </w:rPr>
        <w:t>išlaidas</w:t>
      </w:r>
      <w:r>
        <w:rPr>
          <w:rFonts w:ascii="Calibri" w:eastAsia="Times New Roman" w:hAnsi="Calibri" w:cs="Calibri"/>
          <w:sz w:val="22"/>
        </w:rPr>
        <w:t>.</w:t>
      </w:r>
    </w:p>
    <w:p w14:paraId="3055D112" w14:textId="29AB647D" w:rsidR="000A1521" w:rsidRPr="00831C25" w:rsidRDefault="00EE3FE1" w:rsidP="00831C25">
      <w:pPr>
        <w:numPr>
          <w:ilvl w:val="0"/>
          <w:numId w:val="1"/>
        </w:numPr>
        <w:jc w:val="left"/>
        <w:rPr>
          <w:rFonts w:ascii="Calibri" w:eastAsia="Times New Roman" w:hAnsi="Calibri" w:cs="Calibri"/>
          <w:sz w:val="22"/>
        </w:rPr>
      </w:pPr>
      <w:r w:rsidRPr="00EE3FE1">
        <w:rPr>
          <w:rFonts w:ascii="Calibri" w:eastAsia="Times New Roman" w:hAnsi="Calibri" w:cs="Calibri"/>
          <w:b/>
          <w:bCs/>
          <w:sz w:val="22"/>
        </w:rPr>
        <w:t>Parengti tipines sutartis</w:t>
      </w:r>
      <w:r w:rsidRPr="00EE3FE1">
        <w:rPr>
          <w:rFonts w:ascii="Calibri" w:eastAsia="Times New Roman" w:hAnsi="Calibri" w:cs="Calibri"/>
          <w:sz w:val="22"/>
        </w:rPr>
        <w:t xml:space="preserve"> tarp paraiškos teikėjo (šilumos tiekėjo) ir paramos gavėjo (administratorių, bendrijų)</w:t>
      </w:r>
      <w:r>
        <w:rPr>
          <w:rFonts w:ascii="Calibri" w:eastAsia="Times New Roman" w:hAnsi="Calibri" w:cs="Calibri"/>
          <w:sz w:val="22"/>
        </w:rPr>
        <w:t xml:space="preserve"> ir kitus dokumentus būtinus MR atlikimui</w:t>
      </w:r>
      <w:r w:rsidRPr="00EE3FE1">
        <w:rPr>
          <w:rFonts w:ascii="Calibri" w:eastAsia="Times New Roman" w:hAnsi="Calibri" w:cs="Calibri"/>
          <w:sz w:val="22"/>
        </w:rPr>
        <w:t>.</w:t>
      </w:r>
    </w:p>
    <w:p w14:paraId="383EBD22" w14:textId="44770F7A" w:rsidR="000A1521" w:rsidRDefault="000A1521" w:rsidP="000A1521">
      <w:pPr>
        <w:jc w:val="left"/>
        <w:rPr>
          <w:rFonts w:ascii="Calibri" w:eastAsia="Times New Roman" w:hAnsi="Calibri" w:cs="Calibri"/>
          <w:sz w:val="22"/>
        </w:rPr>
      </w:pPr>
    </w:p>
    <w:p w14:paraId="26999A1B" w14:textId="6DB9CF07" w:rsidR="00992ADA" w:rsidRDefault="00992ADA" w:rsidP="000A1521">
      <w:pPr>
        <w:jc w:val="left"/>
        <w:rPr>
          <w:rFonts w:ascii="Calibri" w:eastAsia="Times New Roman" w:hAnsi="Calibri" w:cs="Calibri"/>
          <w:sz w:val="22"/>
        </w:rPr>
      </w:pPr>
    </w:p>
    <w:p w14:paraId="77C7B333" w14:textId="6495D6A3" w:rsidR="00FD3E15" w:rsidRDefault="00FD3E15" w:rsidP="00FD3E15">
      <w:pPr>
        <w:pStyle w:val="ListParagraph"/>
        <w:numPr>
          <w:ilvl w:val="0"/>
          <w:numId w:val="2"/>
        </w:numPr>
        <w:jc w:val="left"/>
        <w:rPr>
          <w:rFonts w:ascii="Calibri" w:eastAsia="Calibri" w:hAnsi="Calibri" w:cs="Calibri"/>
          <w:b/>
          <w:bCs/>
          <w:szCs w:val="24"/>
        </w:rPr>
      </w:pPr>
      <w:r w:rsidRPr="000A1521">
        <w:rPr>
          <w:rFonts w:ascii="Calibri" w:eastAsia="Calibri" w:hAnsi="Calibri" w:cs="Calibri"/>
          <w:b/>
          <w:bCs/>
          <w:szCs w:val="24"/>
        </w:rPr>
        <w:lastRenderedPageBreak/>
        <w:t xml:space="preserve">Mažosios renovacijos </w:t>
      </w:r>
      <w:r>
        <w:rPr>
          <w:rFonts w:ascii="Calibri" w:eastAsia="Calibri" w:hAnsi="Calibri" w:cs="Calibri"/>
          <w:b/>
          <w:bCs/>
          <w:szCs w:val="24"/>
        </w:rPr>
        <w:t xml:space="preserve">vykdymas </w:t>
      </w:r>
      <w:r w:rsidRPr="000A1521">
        <w:rPr>
          <w:rFonts w:ascii="Calibri" w:eastAsia="Calibri" w:hAnsi="Calibri" w:cs="Calibri"/>
          <w:b/>
          <w:bCs/>
          <w:szCs w:val="24"/>
        </w:rPr>
        <w:t xml:space="preserve">pagal </w:t>
      </w:r>
      <w:r w:rsidR="00831C25" w:rsidRPr="00831C25">
        <w:rPr>
          <w:rFonts w:ascii="Calibri" w:eastAsia="Calibri" w:hAnsi="Calibri" w:cs="Calibri"/>
          <w:b/>
          <w:bCs/>
          <w:szCs w:val="24"/>
          <w:highlight w:val="yellow"/>
        </w:rPr>
        <w:t>daugiabučių namų atnaujinimo (modernizavimo) programos, patvirtintos Vyriausybės, principą</w:t>
      </w:r>
      <w:r w:rsidR="00831C25">
        <w:rPr>
          <w:rFonts w:ascii="Calibri" w:eastAsia="Calibri" w:hAnsi="Calibri" w:cs="Calibri"/>
          <w:b/>
          <w:bCs/>
          <w:szCs w:val="24"/>
        </w:rPr>
        <w:t>.</w:t>
      </w:r>
    </w:p>
    <w:p w14:paraId="293FFE74" w14:textId="77777777" w:rsidR="001D26E5" w:rsidRPr="000A1521" w:rsidRDefault="001D26E5" w:rsidP="001D26E5">
      <w:pPr>
        <w:pStyle w:val="ListParagraph"/>
        <w:ind w:left="1080"/>
        <w:jc w:val="left"/>
        <w:rPr>
          <w:rFonts w:ascii="Calibri" w:eastAsia="Calibri" w:hAnsi="Calibri" w:cs="Calibri"/>
          <w:b/>
          <w:bCs/>
          <w:szCs w:val="24"/>
        </w:rPr>
      </w:pPr>
    </w:p>
    <w:p w14:paraId="20CF8A17" w14:textId="77777777" w:rsidR="00AA524C" w:rsidRDefault="001D26E5" w:rsidP="001D26E5">
      <w:pPr>
        <w:pStyle w:val="ListParagraph"/>
        <w:numPr>
          <w:ilvl w:val="3"/>
          <w:numId w:val="1"/>
        </w:numPr>
        <w:jc w:val="left"/>
        <w:rPr>
          <w:rFonts w:eastAsia="Times New Roman" w:cs="Times New Roman"/>
          <w:szCs w:val="24"/>
        </w:rPr>
      </w:pPr>
      <w:r w:rsidRPr="00AA524C">
        <w:rPr>
          <w:rFonts w:eastAsia="Times New Roman" w:cs="Times New Roman"/>
          <w:szCs w:val="24"/>
        </w:rPr>
        <w:t>Mažoji renovacija kaip atskiras didžiosios renovacijos atvejis, vykdomas pagal tas pačias procedūras.</w:t>
      </w:r>
    </w:p>
    <w:p w14:paraId="0F054EDC" w14:textId="0F5A933F" w:rsidR="001D26E5" w:rsidRPr="00AA524C" w:rsidRDefault="001D26E5" w:rsidP="00AA524C">
      <w:pPr>
        <w:pStyle w:val="ListParagraph"/>
        <w:ind w:left="810"/>
        <w:jc w:val="left"/>
        <w:rPr>
          <w:rFonts w:eastAsia="Times New Roman" w:cs="Times New Roman"/>
          <w:szCs w:val="24"/>
        </w:rPr>
      </w:pPr>
      <w:r w:rsidRPr="00AA524C">
        <w:rPr>
          <w:rFonts w:eastAsia="Times New Roman" w:cs="Times New Roman"/>
          <w:szCs w:val="24"/>
        </w:rPr>
        <w:t xml:space="preserve"> </w:t>
      </w:r>
    </w:p>
    <w:p w14:paraId="3CCC3063" w14:textId="54F162A8" w:rsidR="001D26E5" w:rsidRDefault="00FD3E15" w:rsidP="001D26E5">
      <w:pPr>
        <w:pStyle w:val="ListParagraph"/>
        <w:numPr>
          <w:ilvl w:val="3"/>
          <w:numId w:val="1"/>
        </w:numPr>
        <w:jc w:val="left"/>
        <w:rPr>
          <w:rFonts w:eastAsia="Times New Roman" w:cs="Times New Roman"/>
          <w:szCs w:val="24"/>
        </w:rPr>
      </w:pPr>
      <w:r w:rsidRPr="00AA524C">
        <w:rPr>
          <w:rFonts w:eastAsia="Times New Roman" w:cs="Times New Roman"/>
          <w:szCs w:val="24"/>
        </w:rPr>
        <w:t xml:space="preserve">Kompensacinių išmokų formą </w:t>
      </w:r>
      <w:r w:rsidRPr="00AA524C">
        <w:rPr>
          <w:rFonts w:eastAsia="Times New Roman" w:cs="Times New Roman"/>
          <w:szCs w:val="24"/>
          <w:u w:val="single"/>
        </w:rPr>
        <w:t>kei</w:t>
      </w:r>
      <w:r w:rsidR="001D26E5" w:rsidRPr="00AA524C">
        <w:rPr>
          <w:rFonts w:eastAsia="Times New Roman" w:cs="Times New Roman"/>
          <w:szCs w:val="24"/>
          <w:u w:val="single"/>
        </w:rPr>
        <w:t xml:space="preserve">čiama </w:t>
      </w:r>
      <w:r w:rsidRPr="00AA524C">
        <w:rPr>
          <w:rFonts w:eastAsia="Times New Roman" w:cs="Times New Roman"/>
          <w:szCs w:val="24"/>
          <w:u w:val="single"/>
        </w:rPr>
        <w:t>į finansinės paramos formą</w:t>
      </w:r>
      <w:r w:rsidRPr="00AA524C">
        <w:rPr>
          <w:rFonts w:eastAsia="Times New Roman" w:cs="Times New Roman"/>
          <w:szCs w:val="24"/>
        </w:rPr>
        <w:t xml:space="preserve">. </w:t>
      </w:r>
    </w:p>
    <w:p w14:paraId="20B148F9" w14:textId="77777777" w:rsidR="00AA524C" w:rsidRPr="00AA524C" w:rsidRDefault="00AA524C" w:rsidP="00AA524C">
      <w:pPr>
        <w:pStyle w:val="ListParagraph"/>
        <w:rPr>
          <w:rFonts w:eastAsia="Times New Roman" w:cs="Times New Roman"/>
          <w:szCs w:val="24"/>
        </w:rPr>
      </w:pPr>
    </w:p>
    <w:p w14:paraId="52FD24FC" w14:textId="3194D1B2" w:rsidR="00AA524C" w:rsidRDefault="00AA524C" w:rsidP="00AA524C">
      <w:pPr>
        <w:pStyle w:val="ListParagraph"/>
        <w:numPr>
          <w:ilvl w:val="3"/>
          <w:numId w:val="1"/>
        </w:numPr>
      </w:pPr>
      <w:r w:rsidRPr="00EE3FE1">
        <w:t>Vykdant daugiabučių namų renovaciją, pagal Vyriausybės patvirtintą programą, į projekto apimtį būtina įtraukti vidaus šildymo ir karšto vandens sistemų modernizavimą, jei šilumos punktas neturi galimybės palaikyti vidaus patalpų temperatūrą pagal lauko oro temperatūros pokyčius</w:t>
      </w:r>
    </w:p>
    <w:p w14:paraId="3855E9F5" w14:textId="445B0501" w:rsidR="00AA524C" w:rsidRDefault="00AA524C" w:rsidP="00AA524C">
      <w:pPr>
        <w:pStyle w:val="ListParagraph"/>
        <w:jc w:val="left"/>
        <w:rPr>
          <w:rFonts w:ascii="Calibri" w:eastAsia="Times New Roman" w:hAnsi="Calibri" w:cs="Calibri"/>
          <w:sz w:val="22"/>
        </w:rPr>
      </w:pPr>
    </w:p>
    <w:p w14:paraId="72DBD1E0" w14:textId="2166E23C" w:rsidR="00AA524C" w:rsidRDefault="00AA524C" w:rsidP="00831C25">
      <w:pPr>
        <w:pStyle w:val="ListParagraph"/>
        <w:ind w:left="810"/>
        <w:jc w:val="left"/>
        <w:rPr>
          <w:rFonts w:ascii="Calibri" w:eastAsia="Times New Roman" w:hAnsi="Calibri" w:cs="Calibri"/>
          <w:sz w:val="22"/>
        </w:rPr>
      </w:pPr>
    </w:p>
    <w:p w14:paraId="0C7E9AF4" w14:textId="77777777" w:rsidR="000A1521" w:rsidRPr="000A1521" w:rsidRDefault="000A1521" w:rsidP="000A1521">
      <w:pPr>
        <w:jc w:val="left"/>
        <w:rPr>
          <w:rFonts w:ascii="Calibri" w:eastAsia="Times New Roman" w:hAnsi="Calibri" w:cs="Calibri"/>
          <w:sz w:val="22"/>
        </w:rPr>
      </w:pPr>
    </w:p>
    <w:p w14:paraId="071960B0" w14:textId="5F278EC1" w:rsidR="00E159D8" w:rsidRDefault="00E159D8"/>
    <w:p w14:paraId="0B9C6971" w14:textId="0E0C970A" w:rsidR="00FD3E15" w:rsidRPr="00FD3E15" w:rsidRDefault="00FD3E15" w:rsidP="00FD3E15">
      <w:pPr>
        <w:pStyle w:val="ListParagraph"/>
        <w:numPr>
          <w:ilvl w:val="0"/>
          <w:numId w:val="2"/>
        </w:numPr>
        <w:rPr>
          <w:b/>
          <w:bCs/>
        </w:rPr>
      </w:pPr>
      <w:r w:rsidRPr="00FD3E15">
        <w:rPr>
          <w:b/>
          <w:bCs/>
        </w:rPr>
        <w:t xml:space="preserve">Privaloma mažoji renovacija, minimalių </w:t>
      </w:r>
      <w:r>
        <w:rPr>
          <w:b/>
          <w:bCs/>
        </w:rPr>
        <w:t xml:space="preserve">energetinio efektyvumo </w:t>
      </w:r>
      <w:r w:rsidRPr="00FD3E15">
        <w:rPr>
          <w:b/>
          <w:bCs/>
        </w:rPr>
        <w:t>reikalavimų neatitinkančiuose pastatuose</w:t>
      </w:r>
    </w:p>
    <w:p w14:paraId="726C779D" w14:textId="4635B1E7" w:rsidR="00FD3E15" w:rsidRDefault="00FD3E15" w:rsidP="00FD3E15">
      <w:pPr>
        <w:pStyle w:val="ListParagraph"/>
        <w:ind w:left="1080"/>
      </w:pPr>
    </w:p>
    <w:p w14:paraId="14F6CC1A" w14:textId="1449FC48" w:rsidR="00FD3E15" w:rsidRDefault="00EE3FE1" w:rsidP="00AA524C">
      <w:pPr>
        <w:pStyle w:val="ListParagraph"/>
        <w:numPr>
          <w:ilvl w:val="3"/>
          <w:numId w:val="1"/>
        </w:numPr>
      </w:pPr>
      <w:r>
        <w:t xml:space="preserve">Privalomai </w:t>
      </w:r>
      <w:r w:rsidRPr="00EE3FE1">
        <w:t>kaupiamas</w:t>
      </w:r>
      <w:r>
        <w:t xml:space="preserve"> tikslinis </w:t>
      </w:r>
      <w:r w:rsidRPr="00EE3FE1">
        <w:t>mokestis „inžinerinei“ renovacijai, jeigu pastato šildymas neefektyvus</w:t>
      </w:r>
      <w:r>
        <w:t xml:space="preserve"> ir atitinka bent vieną iš žemiau pateiktų kriterijų:</w:t>
      </w:r>
    </w:p>
    <w:p w14:paraId="00FDA5DE" w14:textId="77777777" w:rsidR="00EE3FE1" w:rsidRDefault="00EE3FE1" w:rsidP="00EE3FE1">
      <w:pPr>
        <w:pStyle w:val="ListParagraph"/>
        <w:ind w:left="810"/>
      </w:pPr>
    </w:p>
    <w:p w14:paraId="625C70CE" w14:textId="4D3CD02F" w:rsidR="00EE3FE1" w:rsidRPr="00EE3FE1" w:rsidRDefault="00EE3FE1" w:rsidP="00EE3FE1">
      <w:pPr>
        <w:numPr>
          <w:ilvl w:val="0"/>
          <w:numId w:val="5"/>
        </w:numPr>
      </w:pPr>
      <w:r w:rsidRPr="00EE3FE1">
        <w:rPr>
          <w:u w:val="single"/>
        </w:rPr>
        <w:t xml:space="preserve">Didelis šilumos suvartojimas šildymui </w:t>
      </w:r>
      <w:r w:rsidRPr="00EE3FE1">
        <w:t xml:space="preserve">- </w:t>
      </w:r>
      <w:r w:rsidRPr="00EE3FE1">
        <w:rPr>
          <w:i/>
          <w:iCs/>
        </w:rPr>
        <w:t>viršija VERT patvirtintas maksimalias metines šilumos suvartojimo normas (kWh/m</w:t>
      </w:r>
      <w:r w:rsidRPr="00EE3FE1">
        <w:rPr>
          <w:i/>
          <w:iCs/>
          <w:vertAlign w:val="superscript"/>
        </w:rPr>
        <w:t xml:space="preserve">2 </w:t>
      </w:r>
      <w:r w:rsidRPr="00EE3FE1">
        <w:rPr>
          <w:i/>
          <w:iCs/>
        </w:rPr>
        <w:t>ar kWh/m</w:t>
      </w:r>
      <w:r w:rsidRPr="00EE3FE1">
        <w:rPr>
          <w:i/>
          <w:iCs/>
          <w:vertAlign w:val="superscript"/>
        </w:rPr>
        <w:t>3</w:t>
      </w:r>
      <w:r w:rsidRPr="00EE3FE1">
        <w:rPr>
          <w:i/>
          <w:iCs/>
        </w:rPr>
        <w:t>)</w:t>
      </w:r>
      <w:r w:rsidR="00831C25">
        <w:rPr>
          <w:i/>
          <w:iCs/>
        </w:rPr>
        <w:t>;</w:t>
      </w:r>
    </w:p>
    <w:p w14:paraId="0F60865A" w14:textId="310B80AE" w:rsidR="00EE3FE1" w:rsidRPr="00EE3FE1" w:rsidRDefault="00EE3FE1" w:rsidP="00EE3FE1">
      <w:pPr>
        <w:numPr>
          <w:ilvl w:val="0"/>
          <w:numId w:val="5"/>
        </w:numPr>
      </w:pPr>
      <w:r w:rsidRPr="00EE3FE1">
        <w:rPr>
          <w:u w:val="single"/>
        </w:rPr>
        <w:t>Nėra techninių galimybių užtikrinti tolygų higieninį visų patalpų šildymą</w:t>
      </w:r>
      <w:r w:rsidR="00831C25">
        <w:rPr>
          <w:u w:val="single"/>
        </w:rPr>
        <w:t>;</w:t>
      </w:r>
    </w:p>
    <w:p w14:paraId="050ED34F" w14:textId="21545261" w:rsidR="00EE3FE1" w:rsidRPr="00EE3FE1" w:rsidRDefault="00EE3FE1" w:rsidP="00EE3FE1">
      <w:pPr>
        <w:numPr>
          <w:ilvl w:val="0"/>
          <w:numId w:val="5"/>
        </w:numPr>
      </w:pPr>
      <w:r w:rsidRPr="00EE3FE1">
        <w:t xml:space="preserve">Vidaus šildymo ar karšto vandens </w:t>
      </w:r>
      <w:r w:rsidRPr="00EE3FE1">
        <w:rPr>
          <w:u w:val="single"/>
        </w:rPr>
        <w:t>sistemos viršija nustatytą eksploatacinio amžiaus ribą</w:t>
      </w:r>
      <w:r w:rsidR="00831C25">
        <w:rPr>
          <w:u w:val="single"/>
        </w:rPr>
        <w:t>;</w:t>
      </w:r>
    </w:p>
    <w:p w14:paraId="24CD4269" w14:textId="3AE90B6F" w:rsidR="00EE3FE1" w:rsidRPr="00EE3FE1" w:rsidRDefault="00EE3FE1" w:rsidP="00EE3FE1">
      <w:pPr>
        <w:numPr>
          <w:ilvl w:val="0"/>
          <w:numId w:val="5"/>
        </w:numPr>
      </w:pPr>
      <w:r w:rsidRPr="00EE3FE1">
        <w:t xml:space="preserve">Vidaus sistemose </w:t>
      </w:r>
      <w:r w:rsidRPr="00EE3FE1">
        <w:rPr>
          <w:u w:val="single"/>
        </w:rPr>
        <w:t xml:space="preserve">fiksuojami plyšimai </w:t>
      </w:r>
      <w:r w:rsidRPr="00EE3FE1">
        <w:t>ir kyla didelių avarijų rizika</w:t>
      </w:r>
      <w:r w:rsidR="00831C25">
        <w:t>;</w:t>
      </w:r>
    </w:p>
    <w:p w14:paraId="71797F46" w14:textId="19688402" w:rsidR="00EE3FE1" w:rsidRPr="00EE3FE1" w:rsidRDefault="00EE3FE1" w:rsidP="00EE3FE1">
      <w:pPr>
        <w:numPr>
          <w:ilvl w:val="0"/>
          <w:numId w:val="5"/>
        </w:numPr>
      </w:pPr>
      <w:r w:rsidRPr="00EE3FE1">
        <w:t xml:space="preserve">Pastato </w:t>
      </w:r>
      <w:r w:rsidRPr="00EE3FE1">
        <w:rPr>
          <w:u w:val="single"/>
        </w:rPr>
        <w:t xml:space="preserve">šilumos punktas yra </w:t>
      </w:r>
      <w:proofErr w:type="spellStart"/>
      <w:r w:rsidRPr="00EE3FE1">
        <w:rPr>
          <w:u w:val="single"/>
        </w:rPr>
        <w:t>elevatorinis</w:t>
      </w:r>
      <w:proofErr w:type="spellEnd"/>
      <w:r w:rsidRPr="00EE3FE1">
        <w:rPr>
          <w:u w:val="single"/>
        </w:rPr>
        <w:t xml:space="preserve"> </w:t>
      </w:r>
      <w:r w:rsidRPr="00EE3FE1">
        <w:t xml:space="preserve">arba </w:t>
      </w:r>
      <w:r w:rsidRPr="00EE3FE1">
        <w:rPr>
          <w:u w:val="single"/>
        </w:rPr>
        <w:t>neturi automatinio šildymo režimo reguliavimo</w:t>
      </w:r>
      <w:r w:rsidRPr="00EE3FE1">
        <w:t xml:space="preserve"> pagal išorės temperatūrą</w:t>
      </w:r>
      <w:r w:rsidR="00831C25">
        <w:t>;</w:t>
      </w:r>
    </w:p>
    <w:p w14:paraId="0A653813" w14:textId="1DD0E1DC" w:rsidR="00EE3FE1" w:rsidRDefault="00EE3FE1" w:rsidP="00EE3FE1">
      <w:pPr>
        <w:pStyle w:val="ListParagraph"/>
        <w:ind w:left="810"/>
      </w:pPr>
    </w:p>
    <w:p w14:paraId="4FCCDBBB" w14:textId="753F1A0F" w:rsidR="00EE3FE1" w:rsidRDefault="00EE3FE1" w:rsidP="00EE3FE1">
      <w:pPr>
        <w:pStyle w:val="ListParagraph"/>
        <w:numPr>
          <w:ilvl w:val="3"/>
          <w:numId w:val="1"/>
        </w:numPr>
      </w:pPr>
      <w:r w:rsidRPr="00EE3FE1">
        <w:t xml:space="preserve">Teisės aktais </w:t>
      </w:r>
      <w:r w:rsidRPr="00EE3FE1">
        <w:rPr>
          <w:b/>
          <w:bCs/>
        </w:rPr>
        <w:t>nustatyti konkrečią datą</w:t>
      </w:r>
      <w:r w:rsidRPr="00EE3FE1">
        <w:t xml:space="preserve"> iki kada turi būti </w:t>
      </w:r>
      <w:proofErr w:type="spellStart"/>
      <w:r w:rsidRPr="00EE3FE1">
        <w:t>elevatoriniai</w:t>
      </w:r>
      <w:proofErr w:type="spellEnd"/>
      <w:r w:rsidRPr="00EE3FE1">
        <w:t xml:space="preserve"> </w:t>
      </w:r>
      <w:r w:rsidRPr="00EE3FE1">
        <w:rPr>
          <w:b/>
          <w:bCs/>
        </w:rPr>
        <w:t xml:space="preserve">šilumos punktai pakeisti </w:t>
      </w:r>
      <w:r>
        <w:rPr>
          <w:b/>
          <w:bCs/>
        </w:rPr>
        <w:t>automatiniais</w:t>
      </w:r>
      <w:r w:rsidRPr="00EE3FE1">
        <w:rPr>
          <w:b/>
          <w:bCs/>
        </w:rPr>
        <w:t>,</w:t>
      </w:r>
      <w:r w:rsidRPr="00EE3FE1">
        <w:t xml:space="preserve"> o vidaus šildymo ir karšto vandens tiekimo </w:t>
      </w:r>
      <w:r w:rsidRPr="00EE3FE1">
        <w:rPr>
          <w:b/>
          <w:bCs/>
        </w:rPr>
        <w:t>sistemos subalansuotos</w:t>
      </w:r>
      <w:r>
        <w:t>.</w:t>
      </w:r>
    </w:p>
    <w:p w14:paraId="6EFE37A5" w14:textId="1E58CD68" w:rsidR="00EE3FE1" w:rsidRPr="00EE3FE1" w:rsidRDefault="00EE3FE1" w:rsidP="00EE3FE1">
      <w:pPr>
        <w:pStyle w:val="ListParagraph"/>
        <w:ind w:left="810"/>
      </w:pPr>
      <w:r w:rsidRPr="00EE3FE1">
        <w:t xml:space="preserve"> </w:t>
      </w:r>
    </w:p>
    <w:p w14:paraId="29A99C58" w14:textId="10D7BAF2" w:rsidR="00EE3FE1" w:rsidRDefault="00EE3FE1" w:rsidP="00EE3FE1">
      <w:pPr>
        <w:pStyle w:val="ListParagraph"/>
        <w:numPr>
          <w:ilvl w:val="3"/>
          <w:numId w:val="1"/>
        </w:numPr>
      </w:pPr>
      <w:r w:rsidRPr="00EE3FE1">
        <w:rPr>
          <w:b/>
          <w:bCs/>
        </w:rPr>
        <w:t>Pakeisti teisinį reglamentavimą</w:t>
      </w:r>
      <w:r>
        <w:t>, kad š</w:t>
      </w:r>
      <w:r w:rsidRPr="00EE3FE1">
        <w:t xml:space="preserve">ilumos punktas - tai „Centralizuoto šilumos tiekimo technologinės grandinės dalis, skirta konkrečiam pastatui“. </w:t>
      </w:r>
    </w:p>
    <w:p w14:paraId="060E7E50" w14:textId="77777777" w:rsidR="00EE3FE1" w:rsidRDefault="00EE3FE1" w:rsidP="00EE3FE1">
      <w:pPr>
        <w:pStyle w:val="ListParagraph"/>
      </w:pPr>
    </w:p>
    <w:p w14:paraId="6ADFA8EB" w14:textId="236BCBD6" w:rsidR="00EE3FE1" w:rsidRPr="00EE3FE1" w:rsidRDefault="00EE3FE1" w:rsidP="00EE3FE1">
      <w:pPr>
        <w:pStyle w:val="ListParagraph"/>
        <w:numPr>
          <w:ilvl w:val="3"/>
          <w:numId w:val="1"/>
        </w:numPr>
      </w:pPr>
      <w:r>
        <w:t xml:space="preserve">Privalomosios MR </w:t>
      </w:r>
      <w:r w:rsidRPr="00EE3FE1">
        <w:rPr>
          <w:b/>
          <w:bCs/>
        </w:rPr>
        <w:t>investicijos susigrąžinamos</w:t>
      </w:r>
      <w:r w:rsidRPr="00EE3FE1">
        <w:t xml:space="preserve"> vidaus sistemų priežiūros tarif</w:t>
      </w:r>
      <w:r>
        <w:t xml:space="preserve">o atskira </w:t>
      </w:r>
      <w:r w:rsidRPr="00EE3FE1">
        <w:t>dedam</w:t>
      </w:r>
      <w:r>
        <w:t xml:space="preserve">ąja. </w:t>
      </w:r>
    </w:p>
    <w:p w14:paraId="03833828" w14:textId="77777777" w:rsidR="00EE3FE1" w:rsidRDefault="00EE3FE1" w:rsidP="00EE3FE1">
      <w:pPr>
        <w:pStyle w:val="ListParagraph"/>
        <w:ind w:left="810"/>
      </w:pPr>
    </w:p>
    <w:p w14:paraId="01D5FA5C" w14:textId="5D3D69AA" w:rsidR="00EE3FE1" w:rsidRDefault="00EE3FE1" w:rsidP="007C1150">
      <w:pPr>
        <w:pStyle w:val="ListParagraph"/>
        <w:numPr>
          <w:ilvl w:val="3"/>
          <w:numId w:val="1"/>
        </w:numPr>
      </w:pPr>
      <w:r w:rsidRPr="00EE3FE1">
        <w:rPr>
          <w:b/>
          <w:bCs/>
        </w:rPr>
        <w:t>Aiškus ir tikslingas ŠP nuosavybės reglamentavimas</w:t>
      </w:r>
      <w:r>
        <w:t xml:space="preserve">. ŠP nuosavybė to subjekto, kuris atliko MR. </w:t>
      </w:r>
      <w:r w:rsidR="00AA524C">
        <w:t>Pastato bendraturčiams sumokėjus visas MR išlaidas</w:t>
      </w:r>
      <w:r w:rsidR="00831C25">
        <w:t>,</w:t>
      </w:r>
      <w:r w:rsidR="00AA524C">
        <w:t xml:space="preserve"> ŠP</w:t>
      </w:r>
      <w:r w:rsidR="00831C25">
        <w:t xml:space="preserve"> </w:t>
      </w:r>
      <w:r w:rsidR="00AA524C">
        <w:t>pereina jų nuosavybėn. Bet kuriuo atveju ŠP aptarnavimo ir eksploatavimo sąnaudas apmoka to pastato ar pastatų, kurie juo naudojasi</w:t>
      </w:r>
      <w:r w:rsidR="00831C25">
        <w:t>,</w:t>
      </w:r>
      <w:r w:rsidR="00AA524C">
        <w:t xml:space="preserve"> bendraturčiai. </w:t>
      </w:r>
    </w:p>
    <w:p w14:paraId="5832CE0F" w14:textId="77777777" w:rsidR="00AA524C" w:rsidRDefault="00AA524C" w:rsidP="00AA524C">
      <w:pPr>
        <w:pStyle w:val="ListParagraph"/>
      </w:pPr>
    </w:p>
    <w:p w14:paraId="7EACD379" w14:textId="77777777" w:rsidR="00AA524C" w:rsidRPr="00AA524C" w:rsidRDefault="00AA524C" w:rsidP="00AA524C">
      <w:pPr>
        <w:pStyle w:val="ListParagraph"/>
        <w:numPr>
          <w:ilvl w:val="3"/>
          <w:numId w:val="1"/>
        </w:numPr>
      </w:pPr>
      <w:r w:rsidRPr="00AA524C">
        <w:lastRenderedPageBreak/>
        <w:t xml:space="preserve">Nustatyti aiškius, konkrečius techninius ir energetinius </w:t>
      </w:r>
      <w:r w:rsidRPr="00AA524C">
        <w:rPr>
          <w:b/>
          <w:bCs/>
        </w:rPr>
        <w:t>privalomuosius reikalavimus, kuomet pastato valdytojas inicijuoja „mažąją renovaciją</w:t>
      </w:r>
      <w:r w:rsidRPr="00AA524C">
        <w:t>“ ir atlieka privalomai</w:t>
      </w:r>
    </w:p>
    <w:p w14:paraId="17FE6140" w14:textId="77777777" w:rsidR="00AA524C" w:rsidRDefault="00AA524C" w:rsidP="00AA524C">
      <w:pPr>
        <w:pStyle w:val="ListParagraph"/>
      </w:pPr>
    </w:p>
    <w:p w14:paraId="4739CEB4" w14:textId="3119AEC5" w:rsidR="00AA524C" w:rsidRPr="00AA524C" w:rsidRDefault="00AA524C" w:rsidP="00AA524C">
      <w:pPr>
        <w:pStyle w:val="ListParagraph"/>
        <w:numPr>
          <w:ilvl w:val="0"/>
          <w:numId w:val="7"/>
        </w:numPr>
      </w:pPr>
      <w:r w:rsidRPr="00AA524C">
        <w:t>Šilumos punktų automatizavimas iki 2023 metų</w:t>
      </w:r>
      <w:r w:rsidR="00831C25" w:rsidRPr="00831C25">
        <w:t xml:space="preserve"> </w:t>
      </w:r>
      <w:r w:rsidR="00831C25">
        <w:t>pabaigos</w:t>
      </w:r>
      <w:r w:rsidRPr="00AA524C">
        <w:t>?</w:t>
      </w:r>
    </w:p>
    <w:p w14:paraId="0FBBB213" w14:textId="2A530491" w:rsidR="00AA524C" w:rsidRPr="00AA524C" w:rsidRDefault="00AA524C" w:rsidP="00AA524C">
      <w:pPr>
        <w:pStyle w:val="ListParagraph"/>
        <w:numPr>
          <w:ilvl w:val="0"/>
          <w:numId w:val="7"/>
        </w:numPr>
      </w:pPr>
      <w:r w:rsidRPr="00AA524C">
        <w:t>ŠŪĮ pataisa?</w:t>
      </w:r>
    </w:p>
    <w:p w14:paraId="2EAB3ED9" w14:textId="550D3E12" w:rsidR="00AA524C" w:rsidRPr="00AA524C" w:rsidRDefault="00AA524C" w:rsidP="00AA524C">
      <w:pPr>
        <w:pStyle w:val="ListParagraph"/>
        <w:numPr>
          <w:ilvl w:val="0"/>
          <w:numId w:val="7"/>
        </w:numPr>
      </w:pPr>
      <w:r w:rsidRPr="00AA524C">
        <w:t>ŠTVT pataisa, nustatoma Energetikos ministro?</w:t>
      </w:r>
    </w:p>
    <w:p w14:paraId="7A96CA4B" w14:textId="5CB5E067" w:rsidR="00AA524C" w:rsidRPr="00AA524C" w:rsidRDefault="00AA524C" w:rsidP="00AA524C">
      <w:pPr>
        <w:pStyle w:val="ListParagraph"/>
        <w:numPr>
          <w:ilvl w:val="0"/>
          <w:numId w:val="7"/>
        </w:numPr>
      </w:pPr>
      <w:r w:rsidRPr="00AA524C">
        <w:t>AM  TA?</w:t>
      </w:r>
    </w:p>
    <w:p w14:paraId="7DDFBC35" w14:textId="77777777" w:rsidR="00AA524C" w:rsidRDefault="00AA524C" w:rsidP="00AA524C"/>
    <w:p w14:paraId="29060A90" w14:textId="726280C8" w:rsidR="00AA524C" w:rsidRPr="00AA524C" w:rsidRDefault="00AA524C" w:rsidP="00AA524C">
      <w:pPr>
        <w:pStyle w:val="ListParagraph"/>
        <w:numPr>
          <w:ilvl w:val="0"/>
          <w:numId w:val="1"/>
        </w:numPr>
      </w:pPr>
      <w:r w:rsidRPr="00AA524C">
        <w:rPr>
          <w:b/>
          <w:bCs/>
        </w:rPr>
        <w:t>Tolygaus šildymo užtikrinimas</w:t>
      </w:r>
      <w:r w:rsidRPr="00AA524C">
        <w:t xml:space="preserve"> subalansuojant šildymo sistemas iki 2025? </w:t>
      </w:r>
    </w:p>
    <w:p w14:paraId="2EFB4CE4" w14:textId="77777777" w:rsidR="00AA524C" w:rsidRDefault="00AA524C" w:rsidP="00AA524C"/>
    <w:p w14:paraId="0D823B8A" w14:textId="5FB94E4B" w:rsidR="00AA524C" w:rsidRDefault="00AA524C" w:rsidP="00AA524C">
      <w:pPr>
        <w:pStyle w:val="ListParagraph"/>
        <w:numPr>
          <w:ilvl w:val="0"/>
          <w:numId w:val="1"/>
        </w:numPr>
      </w:pPr>
      <w:r w:rsidRPr="00AA524C">
        <w:t xml:space="preserve">Jeigu pastato valdytojas to nepadaro iki numatyto termino – </w:t>
      </w:r>
      <w:r w:rsidRPr="00AA524C">
        <w:rPr>
          <w:b/>
          <w:bCs/>
        </w:rPr>
        <w:t>MR atlieka renovacijos administratorius arba CŠT įmonė</w:t>
      </w:r>
    </w:p>
    <w:p w14:paraId="72869167" w14:textId="00F2AE1D" w:rsidR="00AA524C" w:rsidRDefault="00AA524C" w:rsidP="00AA524C">
      <w:pPr>
        <w:pStyle w:val="ListParagraph"/>
      </w:pPr>
    </w:p>
    <w:p w14:paraId="7580ED78" w14:textId="60239124" w:rsidR="00387A33" w:rsidRPr="00387A33" w:rsidRDefault="00387A33" w:rsidP="00387A33">
      <w:pPr>
        <w:pStyle w:val="ListParagraph"/>
        <w:numPr>
          <w:ilvl w:val="0"/>
          <w:numId w:val="1"/>
        </w:numPr>
      </w:pPr>
      <w:r>
        <w:t xml:space="preserve">Privalomosios </w:t>
      </w:r>
      <w:r w:rsidRPr="00387A33">
        <w:t xml:space="preserve">MR </w:t>
      </w:r>
      <w:r w:rsidRPr="00387A33">
        <w:rPr>
          <w:b/>
          <w:bCs/>
        </w:rPr>
        <w:t>inicijavimas</w:t>
      </w:r>
      <w:r w:rsidRPr="00387A33">
        <w:t xml:space="preserve"> (sprendimų priėmimas):</w:t>
      </w:r>
    </w:p>
    <w:p w14:paraId="31447344" w14:textId="77777777" w:rsidR="00387A33" w:rsidRDefault="00387A33" w:rsidP="00387A33">
      <w:pPr>
        <w:pStyle w:val="ListParagraph"/>
      </w:pPr>
    </w:p>
    <w:p w14:paraId="6E23007D" w14:textId="6A253A8F" w:rsidR="00387A33" w:rsidRPr="00387A33" w:rsidRDefault="00387A33" w:rsidP="00387A33">
      <w:pPr>
        <w:pStyle w:val="ListParagraph"/>
        <w:numPr>
          <w:ilvl w:val="0"/>
          <w:numId w:val="7"/>
        </w:numPr>
      </w:pPr>
      <w:r w:rsidRPr="00387A33">
        <w:t>VERT nurodymu?</w:t>
      </w:r>
    </w:p>
    <w:p w14:paraId="4FD6AAD4" w14:textId="1E64DFBA" w:rsidR="00387A33" w:rsidRPr="00387A33" w:rsidRDefault="00387A33" w:rsidP="00387A33">
      <w:pPr>
        <w:pStyle w:val="ListParagraph"/>
        <w:numPr>
          <w:ilvl w:val="0"/>
          <w:numId w:val="7"/>
        </w:numPr>
      </w:pPr>
      <w:r w:rsidRPr="00387A33">
        <w:rPr>
          <w:u w:val="single"/>
        </w:rPr>
        <w:t>Pastato valdytojas inicijuoja</w:t>
      </w:r>
      <w:r w:rsidRPr="00387A33">
        <w:t xml:space="preserve">, jeigu pastatas neatitinka TA nustatytų privalomųjų reikalavimų? </w:t>
      </w:r>
    </w:p>
    <w:p w14:paraId="50A1B747" w14:textId="1A68954F" w:rsidR="00387A33" w:rsidRDefault="00387A33" w:rsidP="00387A33">
      <w:pPr>
        <w:pStyle w:val="ListParagraph"/>
        <w:numPr>
          <w:ilvl w:val="0"/>
          <w:numId w:val="7"/>
        </w:numPr>
      </w:pPr>
      <w:r w:rsidRPr="00387A33">
        <w:t>Per nustatytą laiką nepradėjus MR, ją inicijuoja šilumos tiekėjas arba savivaldybės paskirtas renovacijos administratorius</w:t>
      </w:r>
    </w:p>
    <w:p w14:paraId="6700FFAC" w14:textId="77777777" w:rsidR="00387A33" w:rsidRDefault="00387A33" w:rsidP="00387A33">
      <w:pPr>
        <w:pStyle w:val="ListParagraph"/>
      </w:pPr>
    </w:p>
    <w:p w14:paraId="51B0EE12" w14:textId="223CCD76" w:rsidR="00387A33" w:rsidRPr="00387A33" w:rsidRDefault="00387A33" w:rsidP="00CF1D3F">
      <w:pPr>
        <w:pStyle w:val="ListParagraph"/>
        <w:numPr>
          <w:ilvl w:val="0"/>
          <w:numId w:val="1"/>
        </w:numPr>
      </w:pPr>
      <w:r>
        <w:t>Privalomosios MR į</w:t>
      </w:r>
      <w:r w:rsidRPr="00387A33">
        <w:t xml:space="preserve">gyvendinimo </w:t>
      </w:r>
      <w:r w:rsidRPr="00387A33">
        <w:rPr>
          <w:b/>
          <w:bCs/>
        </w:rPr>
        <w:t>supaprastinimas:</w:t>
      </w:r>
    </w:p>
    <w:p w14:paraId="0BAA0322" w14:textId="1F16B5A2" w:rsidR="00387A33" w:rsidRPr="00387A33" w:rsidRDefault="00387A33" w:rsidP="00387A33">
      <w:pPr>
        <w:pStyle w:val="ListParagraph"/>
        <w:numPr>
          <w:ilvl w:val="0"/>
          <w:numId w:val="7"/>
        </w:numPr>
      </w:pPr>
      <w:r w:rsidRPr="00387A33">
        <w:t xml:space="preserve">Gyventojai balsuoja </w:t>
      </w:r>
      <w:r w:rsidRPr="00387A33">
        <w:rPr>
          <w:b/>
          <w:bCs/>
        </w:rPr>
        <w:t>– „kad neprieštarauja“</w:t>
      </w:r>
      <w:r w:rsidR="00831C25">
        <w:rPr>
          <w:b/>
          <w:bCs/>
        </w:rPr>
        <w:t xml:space="preserve">. </w:t>
      </w:r>
      <w:r w:rsidR="00831C25" w:rsidRPr="00784FAC">
        <w:rPr>
          <w:highlight w:val="yellow"/>
        </w:rPr>
        <w:t xml:space="preserve">Jei </w:t>
      </w:r>
      <w:r w:rsidR="00784FAC" w:rsidRPr="00784FAC">
        <w:rPr>
          <w:highlight w:val="yellow"/>
        </w:rPr>
        <w:t>sprendimui priimti surenkama nepakankamai</w:t>
      </w:r>
      <w:r w:rsidR="00784FAC" w:rsidRPr="00784FAC">
        <w:rPr>
          <w:b/>
          <w:bCs/>
          <w:highlight w:val="yellow"/>
        </w:rPr>
        <w:t xml:space="preserve"> </w:t>
      </w:r>
      <w:r w:rsidR="00784FAC" w:rsidRPr="00784FAC">
        <w:rPr>
          <w:highlight w:val="yellow"/>
        </w:rPr>
        <w:t>balsų, laikytina, kad „prieštaraujančių“ nėra</w:t>
      </w:r>
      <w:r w:rsidRPr="00784FAC">
        <w:t>?</w:t>
      </w:r>
    </w:p>
    <w:p w14:paraId="1446D39F" w14:textId="080019BC" w:rsidR="00387A33" w:rsidRPr="00387A33" w:rsidRDefault="00387A33" w:rsidP="00387A33">
      <w:pPr>
        <w:pStyle w:val="ListParagraph"/>
        <w:numPr>
          <w:ilvl w:val="0"/>
          <w:numId w:val="7"/>
        </w:numPr>
      </w:pPr>
      <w:r w:rsidRPr="00387A33">
        <w:t xml:space="preserve">Vykdytojas inicijuoja ir </w:t>
      </w:r>
      <w:r w:rsidRPr="00387A33">
        <w:rPr>
          <w:b/>
          <w:bCs/>
        </w:rPr>
        <w:t>atlieka MR savo lėšomis</w:t>
      </w:r>
    </w:p>
    <w:p w14:paraId="7C312AF0" w14:textId="0331B277" w:rsidR="00387A33" w:rsidRPr="00387A33" w:rsidRDefault="00387A33" w:rsidP="00387A33">
      <w:pPr>
        <w:pStyle w:val="ListParagraph"/>
        <w:numPr>
          <w:ilvl w:val="0"/>
          <w:numId w:val="7"/>
        </w:numPr>
      </w:pPr>
      <w:r w:rsidRPr="00387A33">
        <w:t xml:space="preserve">Atliekami </w:t>
      </w:r>
      <w:r w:rsidRPr="00387A33">
        <w:rPr>
          <w:b/>
          <w:bCs/>
        </w:rPr>
        <w:t xml:space="preserve">pirkimai ir montavimas </w:t>
      </w:r>
      <w:r w:rsidRPr="00387A33">
        <w:t>pagal viešuosius pirkimus</w:t>
      </w:r>
    </w:p>
    <w:p w14:paraId="05493187" w14:textId="1B31E094" w:rsidR="00387A33" w:rsidRPr="00387A33" w:rsidRDefault="00387A33" w:rsidP="00387A33">
      <w:pPr>
        <w:pStyle w:val="ListParagraph"/>
        <w:numPr>
          <w:ilvl w:val="0"/>
          <w:numId w:val="7"/>
        </w:numPr>
      </w:pPr>
      <w:r w:rsidRPr="00387A33">
        <w:rPr>
          <w:b/>
          <w:bCs/>
        </w:rPr>
        <w:t xml:space="preserve">Vykdytojas kreipiasi į APVA </w:t>
      </w:r>
      <w:r w:rsidRPr="00387A33">
        <w:rPr>
          <w:u w:val="single"/>
        </w:rPr>
        <w:t xml:space="preserve">dėl fiksuotos kompensacijos </w:t>
      </w:r>
      <w:r w:rsidRPr="00387A33">
        <w:rPr>
          <w:b/>
          <w:bCs/>
        </w:rPr>
        <w:t>(EUR/</w:t>
      </w:r>
      <w:proofErr w:type="spellStart"/>
      <w:r w:rsidRPr="00387A33">
        <w:rPr>
          <w:b/>
          <w:bCs/>
        </w:rPr>
        <w:t>vnt</w:t>
      </w:r>
      <w:proofErr w:type="spellEnd"/>
      <w:r w:rsidRPr="00387A33">
        <w:rPr>
          <w:b/>
          <w:bCs/>
        </w:rPr>
        <w:t>)</w:t>
      </w:r>
    </w:p>
    <w:p w14:paraId="63FDB0BA" w14:textId="6275261B" w:rsidR="00387A33" w:rsidRPr="00387A33" w:rsidRDefault="00387A33" w:rsidP="00387A33">
      <w:pPr>
        <w:pStyle w:val="ListParagraph"/>
        <w:numPr>
          <w:ilvl w:val="0"/>
          <w:numId w:val="7"/>
        </w:numPr>
      </w:pPr>
      <w:r w:rsidRPr="00387A33">
        <w:t>Likusi išlaidų dalis įskaičiuojama</w:t>
      </w:r>
      <w:r w:rsidR="009D642E">
        <w:t xml:space="preserve"> pastato bendraturčiams </w:t>
      </w:r>
      <w:r w:rsidRPr="00387A33">
        <w:t xml:space="preserve">ir </w:t>
      </w:r>
      <w:r w:rsidRPr="00387A33">
        <w:rPr>
          <w:b/>
          <w:bCs/>
        </w:rPr>
        <w:t xml:space="preserve">sumokama </w:t>
      </w:r>
      <w:r w:rsidR="009D642E">
        <w:rPr>
          <w:b/>
          <w:bCs/>
        </w:rPr>
        <w:t>iš su</w:t>
      </w:r>
      <w:r w:rsidRPr="00387A33">
        <w:rPr>
          <w:b/>
          <w:bCs/>
        </w:rPr>
        <w:t>kaup</w:t>
      </w:r>
      <w:r w:rsidR="009D642E">
        <w:rPr>
          <w:b/>
          <w:bCs/>
        </w:rPr>
        <w:t xml:space="preserve">tų tikslinių </w:t>
      </w:r>
      <w:r w:rsidRPr="00387A33">
        <w:rPr>
          <w:b/>
          <w:bCs/>
        </w:rPr>
        <w:t>lėš</w:t>
      </w:r>
      <w:r w:rsidR="009D642E">
        <w:rPr>
          <w:b/>
          <w:bCs/>
        </w:rPr>
        <w:t xml:space="preserve">ų </w:t>
      </w:r>
      <w:r w:rsidR="009D642E" w:rsidRPr="009D642E">
        <w:t xml:space="preserve">arba įskaičiuojama į šių lėšų </w:t>
      </w:r>
      <w:r w:rsidR="009D642E">
        <w:t>sąnaudų biudžetą</w:t>
      </w:r>
      <w:r w:rsidR="009D642E" w:rsidRPr="009D642E">
        <w:t>.</w:t>
      </w:r>
      <w:r w:rsidR="009D642E">
        <w:rPr>
          <w:b/>
          <w:bCs/>
        </w:rPr>
        <w:t xml:space="preserve"> </w:t>
      </w:r>
      <w:r w:rsidRPr="00387A33">
        <w:rPr>
          <w:b/>
          <w:bCs/>
        </w:rPr>
        <w:t xml:space="preserve"> </w:t>
      </w:r>
    </w:p>
    <w:p w14:paraId="07B87E74" w14:textId="1103CD71" w:rsidR="00AA524C" w:rsidRDefault="00AA524C" w:rsidP="00387A33">
      <w:pPr>
        <w:pStyle w:val="ListParagraph"/>
      </w:pPr>
    </w:p>
    <w:p w14:paraId="33B59613" w14:textId="2E422967" w:rsidR="009D642E" w:rsidRPr="009D642E" w:rsidRDefault="009D642E" w:rsidP="009D642E">
      <w:pPr>
        <w:pStyle w:val="ListParagraph"/>
        <w:numPr>
          <w:ilvl w:val="0"/>
          <w:numId w:val="1"/>
        </w:numPr>
      </w:pPr>
      <w:r w:rsidRPr="009D642E">
        <w:rPr>
          <w:b/>
          <w:bCs/>
        </w:rPr>
        <w:t xml:space="preserve">Papildoma finansinė parama (priedas) </w:t>
      </w:r>
      <w:r w:rsidRPr="009D642E">
        <w:rPr>
          <w:u w:val="single"/>
        </w:rPr>
        <w:t>reikalavimų neatitinkantiems namams?</w:t>
      </w:r>
    </w:p>
    <w:p w14:paraId="3B3B31DB" w14:textId="77777777" w:rsidR="009D642E" w:rsidRPr="009D642E" w:rsidRDefault="009D642E" w:rsidP="009D642E">
      <w:pPr>
        <w:pStyle w:val="ListParagraph"/>
      </w:pPr>
    </w:p>
    <w:p w14:paraId="584B366F" w14:textId="2EC2988A" w:rsidR="009D642E" w:rsidRPr="009D642E" w:rsidRDefault="009D642E" w:rsidP="009D642E">
      <w:pPr>
        <w:pStyle w:val="ListParagraph"/>
        <w:numPr>
          <w:ilvl w:val="0"/>
          <w:numId w:val="1"/>
        </w:numPr>
      </w:pPr>
      <w:r w:rsidRPr="009D642E">
        <w:rPr>
          <w:b/>
          <w:bCs/>
          <w:u w:val="single"/>
        </w:rPr>
        <w:t>Fiksuoto dydžio kompensac</w:t>
      </w:r>
      <w:r w:rsidR="00784FAC">
        <w:rPr>
          <w:b/>
          <w:bCs/>
          <w:u w:val="single"/>
        </w:rPr>
        <w:t>i</w:t>
      </w:r>
      <w:r w:rsidRPr="009D642E">
        <w:rPr>
          <w:b/>
          <w:bCs/>
          <w:u w:val="single"/>
        </w:rPr>
        <w:t xml:space="preserve">jos (paramos) skyrimas </w:t>
      </w:r>
      <w:r w:rsidRPr="009D642E">
        <w:t>kiekvienam šilumos punktui, kurį būtina keisti (EUR/KW? EUR/</w:t>
      </w:r>
      <w:proofErr w:type="spellStart"/>
      <w:r w:rsidRPr="009D642E">
        <w:t>vnt</w:t>
      </w:r>
      <w:proofErr w:type="spellEnd"/>
      <w:r w:rsidRPr="009D642E">
        <w:t>?), o likusi dalis apmokama bendraturčių - paprastas administravimas</w:t>
      </w:r>
      <w:r w:rsidR="00784FAC">
        <w:t>.</w:t>
      </w:r>
    </w:p>
    <w:p w14:paraId="41D0AC67" w14:textId="77777777" w:rsidR="009D642E" w:rsidRPr="009D642E" w:rsidRDefault="009D642E" w:rsidP="009D642E">
      <w:pPr>
        <w:pStyle w:val="ListParagraph"/>
      </w:pPr>
    </w:p>
    <w:p w14:paraId="0A5EE97B" w14:textId="773B7E48" w:rsidR="009D642E" w:rsidRDefault="009D642E" w:rsidP="00784FAC">
      <w:pPr>
        <w:pStyle w:val="ListParagraph"/>
        <w:numPr>
          <w:ilvl w:val="0"/>
          <w:numId w:val="1"/>
        </w:numPr>
      </w:pPr>
      <w:r w:rsidRPr="009D642E">
        <w:rPr>
          <w:b/>
          <w:bCs/>
          <w:u w:val="single"/>
        </w:rPr>
        <w:t>Nutraukiamos paramos priemonės vartotojams</w:t>
      </w:r>
      <w:r w:rsidRPr="009D642E">
        <w:t>, kurie nepritaria MR ir dėl to nevykdo projekto: PVM lengvata šilumai netaikoma,  nemokamos kompensacijos ir t.t.</w:t>
      </w:r>
    </w:p>
    <w:sectPr w:rsidR="009D642E" w:rsidSect="006405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14062"/>
    <w:multiLevelType w:val="hybridMultilevel"/>
    <w:tmpl w:val="A76203F6"/>
    <w:lvl w:ilvl="0" w:tplc="15D85E6A">
      <w:start w:val="1"/>
      <w:numFmt w:val="bullet"/>
      <w:lvlText w:val="-"/>
      <w:lvlJc w:val="left"/>
      <w:pPr>
        <w:ind w:left="1170" w:hanging="360"/>
      </w:pPr>
      <w:rPr>
        <w:rFonts w:ascii="Times New Roman" w:eastAsiaTheme="minorHAnsi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21CC462A"/>
    <w:multiLevelType w:val="hybridMultilevel"/>
    <w:tmpl w:val="374CCF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81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50619"/>
    <w:multiLevelType w:val="hybridMultilevel"/>
    <w:tmpl w:val="5C662FCE"/>
    <w:lvl w:ilvl="0" w:tplc="7DCA4CD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5DE0C93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9342788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187CD52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80BABFF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A45690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516881D4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2E3E4E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A729A4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332087D"/>
    <w:multiLevelType w:val="hybridMultilevel"/>
    <w:tmpl w:val="FD9E26B2"/>
    <w:lvl w:ilvl="0" w:tplc="992E1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BE85B43"/>
    <w:multiLevelType w:val="hybridMultilevel"/>
    <w:tmpl w:val="BB8A10B2"/>
    <w:lvl w:ilvl="0" w:tplc="00644C3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642B71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5F224F0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plc="6DCE0A8C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plc="D76CEEB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A4E7B6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plc="EA4ADC50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plc="6E9E2B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D64D352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9E14B0"/>
    <w:multiLevelType w:val="hybridMultilevel"/>
    <w:tmpl w:val="925699F4"/>
    <w:lvl w:ilvl="0" w:tplc="992E137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48067A8"/>
    <w:multiLevelType w:val="hybridMultilevel"/>
    <w:tmpl w:val="C448AAB2"/>
    <w:lvl w:ilvl="0" w:tplc="0427000F">
      <w:start w:val="1"/>
      <w:numFmt w:val="decimal"/>
      <w:lvlText w:val="%1."/>
      <w:lvlJc w:val="left"/>
      <w:pPr>
        <w:ind w:left="810" w:hanging="360"/>
      </w:pPr>
    </w:lvl>
    <w:lvl w:ilvl="1" w:tplc="04270019" w:tentative="1">
      <w:start w:val="1"/>
      <w:numFmt w:val="lowerLetter"/>
      <w:lvlText w:val="%2."/>
      <w:lvlJc w:val="left"/>
      <w:pPr>
        <w:ind w:left="1530" w:hanging="360"/>
      </w:pPr>
    </w:lvl>
    <w:lvl w:ilvl="2" w:tplc="0427001B" w:tentative="1">
      <w:start w:val="1"/>
      <w:numFmt w:val="lowerRoman"/>
      <w:lvlText w:val="%3."/>
      <w:lvlJc w:val="right"/>
      <w:pPr>
        <w:ind w:left="2250" w:hanging="180"/>
      </w:pPr>
    </w:lvl>
    <w:lvl w:ilvl="3" w:tplc="0427000F" w:tentative="1">
      <w:start w:val="1"/>
      <w:numFmt w:val="decimal"/>
      <w:lvlText w:val="%4."/>
      <w:lvlJc w:val="left"/>
      <w:pPr>
        <w:ind w:left="2970" w:hanging="360"/>
      </w:pPr>
    </w:lvl>
    <w:lvl w:ilvl="4" w:tplc="04270019" w:tentative="1">
      <w:start w:val="1"/>
      <w:numFmt w:val="lowerLetter"/>
      <w:lvlText w:val="%5."/>
      <w:lvlJc w:val="left"/>
      <w:pPr>
        <w:ind w:left="3690" w:hanging="360"/>
      </w:pPr>
    </w:lvl>
    <w:lvl w:ilvl="5" w:tplc="0427001B" w:tentative="1">
      <w:start w:val="1"/>
      <w:numFmt w:val="lowerRoman"/>
      <w:lvlText w:val="%6."/>
      <w:lvlJc w:val="right"/>
      <w:pPr>
        <w:ind w:left="4410" w:hanging="180"/>
      </w:pPr>
    </w:lvl>
    <w:lvl w:ilvl="6" w:tplc="0427000F" w:tentative="1">
      <w:start w:val="1"/>
      <w:numFmt w:val="decimal"/>
      <w:lvlText w:val="%7."/>
      <w:lvlJc w:val="left"/>
      <w:pPr>
        <w:ind w:left="5130" w:hanging="360"/>
      </w:pPr>
    </w:lvl>
    <w:lvl w:ilvl="7" w:tplc="04270019" w:tentative="1">
      <w:start w:val="1"/>
      <w:numFmt w:val="lowerLetter"/>
      <w:lvlText w:val="%8."/>
      <w:lvlJc w:val="left"/>
      <w:pPr>
        <w:ind w:left="5850" w:hanging="360"/>
      </w:pPr>
    </w:lvl>
    <w:lvl w:ilvl="8" w:tplc="0427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 w15:restartNumberingAfterBreak="0">
    <w:nsid w:val="66F80AD7"/>
    <w:multiLevelType w:val="hybridMultilevel"/>
    <w:tmpl w:val="F54E4746"/>
    <w:lvl w:ilvl="0" w:tplc="DD00F8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1E44BC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C3AA3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200DB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6363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BA03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822F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916D7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1E62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D741011"/>
    <w:multiLevelType w:val="hybridMultilevel"/>
    <w:tmpl w:val="374CCFBE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81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1"/>
  </w:num>
  <w:num w:numId="5">
    <w:abstractNumId w:val="7"/>
  </w:num>
  <w:num w:numId="6">
    <w:abstractNumId w:val="6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1521"/>
    <w:rsid w:val="000A1521"/>
    <w:rsid w:val="00171ABD"/>
    <w:rsid w:val="001D26E5"/>
    <w:rsid w:val="00387A33"/>
    <w:rsid w:val="0040797A"/>
    <w:rsid w:val="00491014"/>
    <w:rsid w:val="0064052E"/>
    <w:rsid w:val="00784FAC"/>
    <w:rsid w:val="00831C25"/>
    <w:rsid w:val="00870542"/>
    <w:rsid w:val="00992ADA"/>
    <w:rsid w:val="009D642E"/>
    <w:rsid w:val="00AA524C"/>
    <w:rsid w:val="00B5243B"/>
    <w:rsid w:val="00BA1A4C"/>
    <w:rsid w:val="00E159D8"/>
    <w:rsid w:val="00EE3FE1"/>
    <w:rsid w:val="00FD3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4C5971"/>
  <w15:chartTrackingRefBased/>
  <w15:docId w15:val="{E364A139-056A-4F65-B681-D47A07351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0797A"/>
    <w:pPr>
      <w:spacing w:after="0"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52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87A33"/>
    <w:pPr>
      <w:spacing w:before="100" w:beforeAutospacing="1" w:after="100" w:afterAutospacing="1"/>
      <w:jc w:val="left"/>
    </w:pPr>
    <w:rPr>
      <w:rFonts w:eastAsia="Times New Roman" w:cs="Times New Roman"/>
      <w:szCs w:val="24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6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91830">
          <w:marLeft w:val="835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3611">
          <w:marLeft w:val="835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8677">
          <w:marLeft w:val="835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083">
          <w:marLeft w:val="835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9205">
          <w:marLeft w:val="835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0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0619">
          <w:marLeft w:val="1008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6274">
          <w:marLeft w:val="1008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632">
          <w:marLeft w:val="1008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4263">
          <w:marLeft w:val="1008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48126">
          <w:marLeft w:val="1008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10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195709">
          <w:marLeft w:val="1008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066262">
          <w:marLeft w:val="835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4238">
          <w:marLeft w:val="1008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83132">
          <w:marLeft w:val="1008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99455">
          <w:marLeft w:val="1008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9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0718">
          <w:marLeft w:val="1008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0732">
          <w:marLeft w:val="1008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29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7744">
          <w:marLeft w:val="835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72468">
          <w:marLeft w:val="1008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40856">
          <w:marLeft w:val="1008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88453">
          <w:marLeft w:val="1008"/>
          <w:marRight w:val="10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2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4645</Words>
  <Characters>2648</Characters>
  <Application>Microsoft Office Word</Application>
  <DocSecurity>0</DocSecurity>
  <Lines>22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Valdas Lukosevicius</dc:creator>
  <cp:keywords/>
  <dc:description/>
  <cp:lastModifiedBy>Mantas</cp:lastModifiedBy>
  <cp:revision>3</cp:revision>
  <dcterms:created xsi:type="dcterms:W3CDTF">2021-10-05T12:29:00Z</dcterms:created>
  <dcterms:modified xsi:type="dcterms:W3CDTF">2021-10-05T12:30:00Z</dcterms:modified>
</cp:coreProperties>
</file>