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354F94B4"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7034E8">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623EA98"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5AEBB9D6" w14:textId="77777777"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4318D35B" w14:textId="4BF83B65" w:rsidR="00705D4A" w:rsidRPr="00DE7B91" w:rsidRDefault="00705D4A" w:rsidP="0092382C">
            <w:pPr>
              <w:jc w:val="both"/>
              <w:rPr>
                <w:rFonts w:ascii="Times New Roman" w:hAnsi="Times New Roman" w:cs="Times New Roman"/>
                <w:bCs/>
                <w:sz w:val="24"/>
                <w:szCs w:val="24"/>
              </w:rPr>
            </w:pPr>
            <w:r w:rsidRPr="00DE7B91">
              <w:rPr>
                <w:rFonts w:ascii="Times New Roman" w:hAnsi="Times New Roman" w:cs="Times New Roman"/>
                <w:bCs/>
                <w:sz w:val="24"/>
                <w:szCs w:val="24"/>
              </w:rPr>
              <w:t>Lietuvos Respublikos Vyriausybei</w:t>
            </w:r>
          </w:p>
          <w:p w14:paraId="5D27319E" w14:textId="77777777" w:rsidR="002B1C04" w:rsidRPr="00DE7B91" w:rsidRDefault="002B1C04" w:rsidP="002B1C04">
            <w:pPr>
              <w:rPr>
                <w:rFonts w:ascii="Times New Roman" w:hAnsi="Times New Roman" w:cs="Times New Roman"/>
                <w:sz w:val="24"/>
                <w:szCs w:val="24"/>
              </w:rPr>
            </w:pPr>
            <w:r>
              <w:rPr>
                <w:rFonts w:ascii="Times New Roman" w:hAnsi="Times New Roman" w:cs="Times New Roman"/>
                <w:sz w:val="24"/>
                <w:szCs w:val="24"/>
              </w:rPr>
              <w:t>Lietuvos Respublikos Seimo Ekonomikos komitetui</w:t>
            </w:r>
          </w:p>
          <w:p w14:paraId="260E6DB4" w14:textId="3C9A4544" w:rsidR="00705D4A" w:rsidRDefault="00705D4A" w:rsidP="00705D4A">
            <w:pPr>
              <w:rPr>
                <w:rFonts w:ascii="Times New Roman" w:hAnsi="Times New Roman" w:cs="Times New Roman"/>
                <w:sz w:val="24"/>
                <w:szCs w:val="24"/>
              </w:rPr>
            </w:pPr>
            <w:r w:rsidRPr="00DE7B91">
              <w:rPr>
                <w:rFonts w:ascii="Times New Roman" w:hAnsi="Times New Roman" w:cs="Times New Roman"/>
                <w:sz w:val="24"/>
                <w:szCs w:val="24"/>
              </w:rPr>
              <w:t xml:space="preserve">Lietuvos Respublikos Seimo </w:t>
            </w:r>
            <w:r w:rsidR="002B1C04">
              <w:rPr>
                <w:rFonts w:ascii="Times New Roman" w:hAnsi="Times New Roman" w:cs="Times New Roman"/>
                <w:sz w:val="24"/>
                <w:szCs w:val="24"/>
              </w:rPr>
              <w:t>E</w:t>
            </w:r>
            <w:r w:rsidRPr="00DE7B91">
              <w:rPr>
                <w:rFonts w:ascii="Times New Roman" w:hAnsi="Times New Roman" w:cs="Times New Roman"/>
                <w:sz w:val="24"/>
                <w:szCs w:val="24"/>
              </w:rPr>
              <w:t>nergetikos ir darnios plėtros komisijai</w:t>
            </w:r>
          </w:p>
          <w:p w14:paraId="55100220" w14:textId="16F15364" w:rsidR="0092382C" w:rsidRDefault="00ED7052" w:rsidP="0092382C">
            <w:pPr>
              <w:jc w:val="both"/>
              <w:rPr>
                <w:rFonts w:ascii="Times New Roman" w:hAnsi="Times New Roman" w:cs="Times New Roman"/>
                <w:bCs/>
                <w:sz w:val="24"/>
                <w:szCs w:val="24"/>
              </w:rPr>
            </w:pPr>
            <w:r>
              <w:rPr>
                <w:rFonts w:ascii="Times New Roman" w:hAnsi="Times New Roman" w:cs="Times New Roman"/>
                <w:bCs/>
                <w:sz w:val="24"/>
                <w:szCs w:val="24"/>
              </w:rPr>
              <w:t xml:space="preserve">Lietuvos Respublikos </w:t>
            </w:r>
            <w:r w:rsidR="006E2F50">
              <w:rPr>
                <w:rFonts w:ascii="Times New Roman" w:hAnsi="Times New Roman" w:cs="Times New Roman"/>
                <w:bCs/>
                <w:sz w:val="24"/>
                <w:szCs w:val="24"/>
              </w:rPr>
              <w:t>a</w:t>
            </w:r>
            <w:r>
              <w:rPr>
                <w:rFonts w:ascii="Times New Roman" w:hAnsi="Times New Roman" w:cs="Times New Roman"/>
                <w:bCs/>
                <w:sz w:val="24"/>
                <w:szCs w:val="24"/>
              </w:rPr>
              <w:t>plinkos ministerijai</w:t>
            </w:r>
          </w:p>
          <w:p w14:paraId="2F33BACF" w14:textId="41908CA8" w:rsidR="00705D4A" w:rsidRDefault="00705D4A" w:rsidP="0092382C">
            <w:pPr>
              <w:jc w:val="both"/>
              <w:rPr>
                <w:rFonts w:ascii="Times New Roman" w:hAnsi="Times New Roman" w:cs="Times New Roman"/>
                <w:bCs/>
                <w:sz w:val="24"/>
                <w:szCs w:val="24"/>
              </w:rPr>
            </w:pPr>
            <w:r>
              <w:rPr>
                <w:rFonts w:ascii="Times New Roman" w:hAnsi="Times New Roman" w:cs="Times New Roman"/>
                <w:bCs/>
                <w:sz w:val="24"/>
                <w:szCs w:val="24"/>
              </w:rPr>
              <w:t>Lietuvos Respublikos energetikos ministerijai</w:t>
            </w:r>
          </w:p>
          <w:p w14:paraId="12C8476B" w14:textId="7D62F3DF" w:rsidR="00A5378F" w:rsidRPr="00DE7B91" w:rsidRDefault="00D5589E" w:rsidP="00E85E32">
            <w:pPr>
              <w:jc w:val="both"/>
              <w:rPr>
                <w:rFonts w:ascii="Times New Roman" w:hAnsi="Times New Roman" w:cs="Times New Roman"/>
                <w:bCs/>
                <w:sz w:val="24"/>
                <w:szCs w:val="24"/>
              </w:rPr>
            </w:pPr>
            <w:r>
              <w:rPr>
                <w:rFonts w:ascii="Times New Roman" w:hAnsi="Times New Roman" w:cs="Times New Roman"/>
                <w:bCs/>
                <w:sz w:val="24"/>
                <w:szCs w:val="24"/>
              </w:rPr>
              <w:t xml:space="preserve">VĮ </w:t>
            </w:r>
            <w:r w:rsidR="00ED7052">
              <w:rPr>
                <w:rFonts w:ascii="Times New Roman" w:hAnsi="Times New Roman" w:cs="Times New Roman"/>
                <w:bCs/>
                <w:sz w:val="24"/>
                <w:szCs w:val="24"/>
              </w:rPr>
              <w:t>Valstybin</w:t>
            </w:r>
            <w:r>
              <w:rPr>
                <w:rFonts w:ascii="Times New Roman" w:hAnsi="Times New Roman" w:cs="Times New Roman"/>
                <w:bCs/>
                <w:sz w:val="24"/>
                <w:szCs w:val="24"/>
              </w:rPr>
              <w:t>ių</w:t>
            </w:r>
            <w:r w:rsidR="00ED7052">
              <w:rPr>
                <w:rFonts w:ascii="Times New Roman" w:hAnsi="Times New Roman" w:cs="Times New Roman"/>
                <w:bCs/>
                <w:sz w:val="24"/>
                <w:szCs w:val="24"/>
              </w:rPr>
              <w:t xml:space="preserve"> miškų urėdijai</w:t>
            </w:r>
          </w:p>
        </w:tc>
        <w:tc>
          <w:tcPr>
            <w:tcW w:w="283" w:type="dxa"/>
          </w:tcPr>
          <w:p w14:paraId="28688853" w14:textId="77777777" w:rsidR="00A5378F" w:rsidRPr="00D200FB" w:rsidRDefault="00A5378F" w:rsidP="00AF7D96">
            <w:pPr>
              <w:rPr>
                <w:rFonts w:ascii="Times New Roman" w:hAnsi="Times New Roman" w:cs="Times New Roman"/>
                <w:bCs/>
                <w:sz w:val="24"/>
                <w:szCs w:val="24"/>
              </w:rPr>
            </w:pPr>
          </w:p>
        </w:tc>
        <w:tc>
          <w:tcPr>
            <w:tcW w:w="1418" w:type="dxa"/>
          </w:tcPr>
          <w:p w14:paraId="4D429152" w14:textId="4BAAEA5C" w:rsidR="00A5378F" w:rsidRPr="001009AE" w:rsidRDefault="00A5378F" w:rsidP="00AF7D96">
            <w:pPr>
              <w:rPr>
                <w:rFonts w:ascii="Times New Roman" w:hAnsi="Times New Roman" w:cs="Times New Roman"/>
                <w:bCs/>
                <w:sz w:val="24"/>
                <w:szCs w:val="24"/>
              </w:rPr>
            </w:pPr>
            <w:r w:rsidRPr="001009AE">
              <w:rPr>
                <w:rFonts w:ascii="Times New Roman" w:hAnsi="Times New Roman" w:cs="Times New Roman"/>
                <w:bCs/>
                <w:sz w:val="24"/>
                <w:szCs w:val="24"/>
              </w:rPr>
              <w:t>20</w:t>
            </w:r>
            <w:r w:rsidR="005A234D" w:rsidRPr="001009AE">
              <w:rPr>
                <w:rFonts w:ascii="Times New Roman" w:hAnsi="Times New Roman" w:cs="Times New Roman"/>
                <w:bCs/>
                <w:sz w:val="24"/>
                <w:szCs w:val="24"/>
              </w:rPr>
              <w:t>2</w:t>
            </w:r>
            <w:r w:rsidR="007034E8" w:rsidRPr="001009AE">
              <w:rPr>
                <w:rFonts w:ascii="Times New Roman" w:hAnsi="Times New Roman" w:cs="Times New Roman"/>
                <w:bCs/>
                <w:sz w:val="24"/>
                <w:szCs w:val="24"/>
              </w:rPr>
              <w:t>1</w:t>
            </w:r>
            <w:r w:rsidRPr="001009AE">
              <w:rPr>
                <w:rFonts w:ascii="Times New Roman" w:hAnsi="Times New Roman" w:cs="Times New Roman"/>
                <w:bCs/>
                <w:sz w:val="24"/>
                <w:szCs w:val="24"/>
              </w:rPr>
              <w:t>-</w:t>
            </w:r>
            <w:r w:rsidR="007034E8" w:rsidRPr="001009AE">
              <w:rPr>
                <w:rFonts w:ascii="Times New Roman" w:hAnsi="Times New Roman" w:cs="Times New Roman"/>
                <w:bCs/>
                <w:sz w:val="24"/>
                <w:szCs w:val="24"/>
              </w:rPr>
              <w:t>0</w:t>
            </w:r>
            <w:r w:rsidR="00ED7052">
              <w:rPr>
                <w:rFonts w:ascii="Times New Roman" w:hAnsi="Times New Roman" w:cs="Times New Roman"/>
                <w:bCs/>
                <w:sz w:val="24"/>
                <w:szCs w:val="24"/>
              </w:rPr>
              <w:t>8-1</w:t>
            </w:r>
            <w:r w:rsidR="006E2F50">
              <w:rPr>
                <w:rFonts w:ascii="Times New Roman" w:hAnsi="Times New Roman" w:cs="Times New Roman"/>
                <w:bCs/>
                <w:sz w:val="24"/>
                <w:szCs w:val="24"/>
              </w:rPr>
              <w:t>7</w:t>
            </w:r>
          </w:p>
        </w:tc>
        <w:tc>
          <w:tcPr>
            <w:tcW w:w="2401" w:type="dxa"/>
          </w:tcPr>
          <w:p w14:paraId="0DCDE756" w14:textId="64A8CB79" w:rsidR="00A5378F" w:rsidRPr="001009AE" w:rsidRDefault="00A5378F" w:rsidP="00AF7D96">
            <w:pPr>
              <w:rPr>
                <w:rFonts w:ascii="Times New Roman" w:hAnsi="Times New Roman" w:cs="Times New Roman"/>
                <w:bCs/>
                <w:sz w:val="24"/>
                <w:szCs w:val="24"/>
              </w:rPr>
            </w:pPr>
            <w:r w:rsidRPr="001009AE">
              <w:rPr>
                <w:rFonts w:ascii="Times New Roman" w:hAnsi="Times New Roman" w:cs="Times New Roman"/>
                <w:bCs/>
                <w:sz w:val="24"/>
                <w:szCs w:val="24"/>
              </w:rPr>
              <w:t>Nr.</w:t>
            </w:r>
            <w:r w:rsidR="00FE0E7B" w:rsidRPr="001009AE">
              <w:rPr>
                <w:rFonts w:ascii="Times New Roman" w:hAnsi="Times New Roman" w:cs="Times New Roman"/>
                <w:bCs/>
                <w:sz w:val="24"/>
                <w:szCs w:val="24"/>
              </w:rPr>
              <w:t xml:space="preserve"> </w:t>
            </w:r>
            <w:r w:rsidR="00705D4A">
              <w:rPr>
                <w:rFonts w:ascii="Times New Roman" w:hAnsi="Times New Roman" w:cs="Times New Roman"/>
                <w:bCs/>
                <w:sz w:val="24"/>
                <w:szCs w:val="24"/>
              </w:rPr>
              <w:t>76</w:t>
            </w:r>
          </w:p>
        </w:tc>
      </w:tr>
      <w:tr w:rsidR="00A5378F" w:rsidRPr="00D200FB" w14:paraId="09EA10AA" w14:textId="77777777" w:rsidTr="00AF7D96">
        <w:trPr>
          <w:cantSplit/>
        </w:trPr>
        <w:tc>
          <w:tcPr>
            <w:tcW w:w="5537" w:type="dxa"/>
            <w:vMerge/>
          </w:tcPr>
          <w:p w14:paraId="71EA8D27" w14:textId="77777777" w:rsidR="00A5378F" w:rsidRPr="00D200FB" w:rsidRDefault="00A5378F" w:rsidP="00AF7D96">
            <w:pPr>
              <w:rPr>
                <w:rFonts w:ascii="Times New Roman" w:hAnsi="Times New Roman" w:cs="Times New Roman"/>
                <w:sz w:val="24"/>
                <w:szCs w:val="24"/>
              </w:rPr>
            </w:pPr>
          </w:p>
        </w:tc>
        <w:tc>
          <w:tcPr>
            <w:tcW w:w="283" w:type="dxa"/>
          </w:tcPr>
          <w:p w14:paraId="4E36042F" w14:textId="68BBE9FD" w:rsidR="00A5378F" w:rsidRPr="00D200FB" w:rsidRDefault="00C36BC7" w:rsidP="00AF7D96">
            <w:pPr>
              <w:pStyle w:val="Heading1"/>
              <w:rPr>
                <w:szCs w:val="24"/>
              </w:rPr>
            </w:pPr>
            <w:r>
              <w:rPr>
                <w:szCs w:val="24"/>
              </w:rPr>
              <w:t>Į</w:t>
            </w:r>
          </w:p>
        </w:tc>
        <w:tc>
          <w:tcPr>
            <w:tcW w:w="1418" w:type="dxa"/>
          </w:tcPr>
          <w:p w14:paraId="094B5206" w14:textId="2F7BC8F9" w:rsidR="00A5378F" w:rsidRPr="001009AE" w:rsidRDefault="00A5378F" w:rsidP="00AF7D96">
            <w:pPr>
              <w:rPr>
                <w:rFonts w:ascii="Times New Roman" w:hAnsi="Times New Roman" w:cs="Times New Roman"/>
                <w:sz w:val="24"/>
                <w:szCs w:val="24"/>
              </w:rPr>
            </w:pPr>
          </w:p>
        </w:tc>
        <w:tc>
          <w:tcPr>
            <w:tcW w:w="2401" w:type="dxa"/>
          </w:tcPr>
          <w:p w14:paraId="29966694" w14:textId="3AD9B8F9" w:rsidR="00A5378F" w:rsidRPr="001009AE" w:rsidRDefault="007034E8" w:rsidP="00AF7D96">
            <w:pPr>
              <w:pStyle w:val="Heading1"/>
              <w:rPr>
                <w:szCs w:val="24"/>
              </w:rPr>
            </w:pPr>
            <w:r w:rsidRPr="001009AE">
              <w:rPr>
                <w:szCs w:val="24"/>
              </w:rPr>
              <w:t xml:space="preserve">Nr. </w:t>
            </w:r>
          </w:p>
        </w:tc>
      </w:tr>
      <w:tr w:rsidR="00A5378F" w:rsidRPr="00D200FB" w14:paraId="4132F391" w14:textId="77777777" w:rsidTr="00AF7D96">
        <w:trPr>
          <w:cantSplit/>
          <w:trHeight w:val="302"/>
        </w:trPr>
        <w:tc>
          <w:tcPr>
            <w:tcW w:w="5537" w:type="dxa"/>
          </w:tcPr>
          <w:p w14:paraId="738DF583" w14:textId="2FCA1096" w:rsidR="00C53CCA" w:rsidRPr="00D200FB" w:rsidRDefault="00C53CCA" w:rsidP="00AF7D96">
            <w:pPr>
              <w:tabs>
                <w:tab w:val="left" w:pos="3513"/>
              </w:tabs>
              <w:rPr>
                <w:rFonts w:ascii="Times New Roman" w:hAnsi="Times New Roman" w:cs="Times New Roman"/>
                <w:sz w:val="24"/>
                <w:szCs w:val="24"/>
              </w:rPr>
            </w:pPr>
          </w:p>
        </w:tc>
        <w:tc>
          <w:tcPr>
            <w:tcW w:w="283" w:type="dxa"/>
          </w:tcPr>
          <w:p w14:paraId="2810A5CB" w14:textId="77777777" w:rsidR="00A5378F" w:rsidRPr="00C36BC7" w:rsidRDefault="00A5378F" w:rsidP="00AF7D96">
            <w:pPr>
              <w:rPr>
                <w:rFonts w:ascii="Times New Roman" w:hAnsi="Times New Roman" w:cs="Times New Roman"/>
                <w:sz w:val="24"/>
                <w:szCs w:val="24"/>
              </w:rPr>
            </w:pPr>
          </w:p>
        </w:tc>
        <w:tc>
          <w:tcPr>
            <w:tcW w:w="1418" w:type="dxa"/>
          </w:tcPr>
          <w:p w14:paraId="21B51252" w14:textId="77777777" w:rsidR="00A5378F" w:rsidRPr="00D200FB" w:rsidRDefault="00A5378F" w:rsidP="00AF7D96">
            <w:pPr>
              <w:rPr>
                <w:rFonts w:ascii="Times New Roman" w:hAnsi="Times New Roman" w:cs="Times New Roman"/>
                <w:sz w:val="24"/>
                <w:szCs w:val="24"/>
              </w:rPr>
            </w:pPr>
          </w:p>
        </w:tc>
        <w:tc>
          <w:tcPr>
            <w:tcW w:w="2401" w:type="dxa"/>
          </w:tcPr>
          <w:p w14:paraId="3A8CA8C2" w14:textId="77777777" w:rsidR="00A5378F" w:rsidRPr="00D200FB" w:rsidRDefault="00A5378F" w:rsidP="00AF7D96">
            <w:pPr>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2E57D9D2" w:rsidR="00A5378F" w:rsidRPr="00705D4A" w:rsidRDefault="00ED7052" w:rsidP="00C36BC7">
            <w:pPr>
              <w:autoSpaceDE w:val="0"/>
              <w:autoSpaceDN w:val="0"/>
              <w:adjustRightInd w:val="0"/>
              <w:rPr>
                <w:rFonts w:ascii="Times New Roman" w:hAnsi="Times New Roman" w:cs="Times New Roman"/>
                <w:b/>
                <w:caps/>
                <w:sz w:val="24"/>
                <w:szCs w:val="24"/>
              </w:rPr>
            </w:pPr>
            <w:r w:rsidRPr="00705D4A">
              <w:rPr>
                <w:rFonts w:ascii="Times New Roman" w:hAnsi="Times New Roman" w:cs="Times New Roman"/>
                <w:b/>
                <w:caps/>
                <w:sz w:val="24"/>
                <w:szCs w:val="24"/>
              </w:rPr>
              <w:t xml:space="preserve">Dėl </w:t>
            </w:r>
            <w:r w:rsidR="00705D4A" w:rsidRPr="00705D4A">
              <w:rPr>
                <w:rFonts w:ascii="Times New Roman" w:hAnsi="Times New Roman" w:cs="Times New Roman"/>
                <w:b/>
                <w:sz w:val="24"/>
                <w:szCs w:val="24"/>
                <w:lang w:val="en-US"/>
              </w:rPr>
              <w:t xml:space="preserve">VALSTYBINIŲ MIŠKŲ URĖDIJOS AKTYVESNIO </w:t>
            </w:r>
            <w:r w:rsidR="00705D4A" w:rsidRPr="00705D4A">
              <w:rPr>
                <w:rFonts w:ascii="Times New Roman" w:hAnsi="Times New Roman" w:cs="Times New Roman"/>
                <w:b/>
                <w:sz w:val="24"/>
                <w:szCs w:val="24"/>
              </w:rPr>
              <w:t>DALYVAVIMO LIETUVOS  BIOKURO RINKOJE</w:t>
            </w:r>
          </w:p>
        </w:tc>
      </w:tr>
    </w:tbl>
    <w:p w14:paraId="74D32727" w14:textId="77777777" w:rsidR="00A5378F" w:rsidRDefault="00A5378F" w:rsidP="00A5378F">
      <w:pPr>
        <w:jc w:val="both"/>
        <w:rPr>
          <w:rFonts w:ascii="Times New Roman" w:hAnsi="Times New Roman" w:cs="Times New Roman"/>
          <w:sz w:val="24"/>
          <w:szCs w:val="24"/>
        </w:rPr>
      </w:pPr>
    </w:p>
    <w:p w14:paraId="7A2FBE9D" w14:textId="7606FCDA" w:rsidR="00D94E62" w:rsidRDefault="00D718B2" w:rsidP="00F80917">
      <w:pPr>
        <w:spacing w:line="276" w:lineRule="auto"/>
        <w:jc w:val="both"/>
      </w:pPr>
      <w:r w:rsidRPr="00D02C9C">
        <w:tab/>
      </w:r>
    </w:p>
    <w:p w14:paraId="1A6F7D3F" w14:textId="4224A9E9" w:rsidR="00ED7052" w:rsidRDefault="00ED7052" w:rsidP="00ED7052">
      <w:pPr>
        <w:pStyle w:val="BodyText"/>
        <w:ind w:firstLine="0"/>
      </w:pPr>
    </w:p>
    <w:p w14:paraId="376D65D9" w14:textId="5233DC2C" w:rsidR="00705D4A" w:rsidRPr="00705D4A" w:rsidRDefault="00705D4A" w:rsidP="00705D4A">
      <w:pPr>
        <w:jc w:val="both"/>
        <w:rPr>
          <w:rFonts w:ascii="Times New Roman" w:hAnsi="Times New Roman" w:cs="Times New Roman"/>
          <w:sz w:val="24"/>
          <w:szCs w:val="24"/>
        </w:rPr>
      </w:pPr>
      <w:r w:rsidRPr="00705D4A">
        <w:rPr>
          <w:rFonts w:ascii="Times New Roman" w:hAnsi="Times New Roman" w:cs="Times New Roman"/>
          <w:sz w:val="24"/>
          <w:szCs w:val="24"/>
        </w:rPr>
        <w:t xml:space="preserve">2020 metais Lietuvos centralizuoto šilumos tiekimo (toliau - CŠT) sektoriuje beveik </w:t>
      </w:r>
      <w:r w:rsidRPr="00705D4A">
        <w:rPr>
          <w:rFonts w:ascii="Times New Roman" w:hAnsi="Times New Roman" w:cs="Times New Roman"/>
          <w:b/>
          <w:bCs/>
          <w:sz w:val="24"/>
          <w:szCs w:val="24"/>
        </w:rPr>
        <w:t>75 proc.</w:t>
      </w:r>
      <w:r w:rsidRPr="00705D4A">
        <w:rPr>
          <w:rFonts w:ascii="Times New Roman" w:hAnsi="Times New Roman" w:cs="Times New Roman"/>
          <w:sz w:val="24"/>
          <w:szCs w:val="24"/>
        </w:rPr>
        <w:t xml:space="preserve"> šilumai pagaminti sunaudoto kuro buvo atsinaujinantis –</w:t>
      </w:r>
      <w:r>
        <w:rPr>
          <w:rFonts w:ascii="Times New Roman" w:hAnsi="Times New Roman" w:cs="Times New Roman"/>
          <w:sz w:val="24"/>
          <w:szCs w:val="24"/>
        </w:rPr>
        <w:t xml:space="preserve"> iš esmės tai </w:t>
      </w:r>
      <w:r w:rsidRPr="00705D4A">
        <w:rPr>
          <w:rFonts w:ascii="Times New Roman" w:hAnsi="Times New Roman" w:cs="Times New Roman"/>
          <w:sz w:val="24"/>
          <w:szCs w:val="24"/>
        </w:rPr>
        <w:t>smulkinta mediena ir nedidel</w:t>
      </w:r>
      <w:r>
        <w:rPr>
          <w:rFonts w:ascii="Times New Roman" w:hAnsi="Times New Roman" w:cs="Times New Roman"/>
          <w:sz w:val="24"/>
          <w:szCs w:val="24"/>
        </w:rPr>
        <w:t>ė</w:t>
      </w:r>
      <w:r w:rsidRPr="00705D4A">
        <w:rPr>
          <w:rFonts w:ascii="Times New Roman" w:hAnsi="Times New Roman" w:cs="Times New Roman"/>
          <w:sz w:val="24"/>
          <w:szCs w:val="24"/>
        </w:rPr>
        <w:t xml:space="preserve"> atsinaujinanti komunalinių atliekų dalis. Pradėjus veikti pilna galia Vilniaus kogeneracinei jėgainei (planuojama 2022 metais) smulkinta mediena kuro balanse </w:t>
      </w:r>
      <w:r>
        <w:rPr>
          <w:rFonts w:ascii="Times New Roman" w:hAnsi="Times New Roman" w:cs="Times New Roman"/>
          <w:sz w:val="24"/>
          <w:szCs w:val="24"/>
        </w:rPr>
        <w:t xml:space="preserve">prognozuojama </w:t>
      </w:r>
      <w:r w:rsidRPr="00705D4A">
        <w:rPr>
          <w:rFonts w:ascii="Times New Roman" w:hAnsi="Times New Roman" w:cs="Times New Roman"/>
          <w:sz w:val="24"/>
          <w:szCs w:val="24"/>
        </w:rPr>
        <w:t xml:space="preserve">pasieks </w:t>
      </w:r>
      <w:r>
        <w:rPr>
          <w:rFonts w:ascii="Times New Roman" w:hAnsi="Times New Roman" w:cs="Times New Roman"/>
          <w:sz w:val="24"/>
          <w:szCs w:val="24"/>
        </w:rPr>
        <w:t>80-</w:t>
      </w:r>
      <w:r w:rsidRPr="00705D4A">
        <w:rPr>
          <w:rFonts w:ascii="Times New Roman" w:hAnsi="Times New Roman" w:cs="Times New Roman"/>
          <w:sz w:val="24"/>
          <w:szCs w:val="24"/>
        </w:rPr>
        <w:t xml:space="preserve">90 proc. Didelę dalį smulkintos medienos šildymui naudoja ir pramonės įmonės, šio kuro dėka šiluminėse elektrinėse generuojama stabili elektros energija. Taigi, </w:t>
      </w:r>
      <w:r w:rsidRPr="00705D4A">
        <w:rPr>
          <w:rFonts w:ascii="Times New Roman" w:hAnsi="Times New Roman" w:cs="Times New Roman"/>
          <w:b/>
          <w:bCs/>
          <w:sz w:val="24"/>
          <w:szCs w:val="24"/>
        </w:rPr>
        <w:t>smulkinta mediena tapo Lietuvos energetikoje strategiškai svarbiausiu kuru</w:t>
      </w:r>
      <w:r w:rsidRPr="00705D4A">
        <w:rPr>
          <w:rFonts w:ascii="Times New Roman" w:hAnsi="Times New Roman" w:cs="Times New Roman"/>
          <w:sz w:val="24"/>
          <w:szCs w:val="24"/>
        </w:rPr>
        <w:t>, o centralizuotai tiekiamos šilumos ir generuojamos elektros kainos labai priklauso nuo šio kuro įsigijimo sąlygų. Pažymėtina, kad sparčiai atsisakant iškastinio kuro (gamtinių dujų) naudojimo, alternatyvaus sprendimo apsirūpinant šiluma artimoje perspektyvoje nėra.  Saulės energija tinkama tik karštam vandeniui ruošti, o šilumos siurbliai šaltuoju laikotarpiu mažai efektyvūs senos statybos daugiabučiuose ir kituose „</w:t>
      </w:r>
      <w:proofErr w:type="spellStart"/>
      <w:r w:rsidRPr="00705D4A">
        <w:rPr>
          <w:rFonts w:ascii="Times New Roman" w:hAnsi="Times New Roman" w:cs="Times New Roman"/>
          <w:sz w:val="24"/>
          <w:szCs w:val="24"/>
        </w:rPr>
        <w:t>radiatorinio</w:t>
      </w:r>
      <w:proofErr w:type="spellEnd"/>
      <w:r w:rsidRPr="00705D4A">
        <w:rPr>
          <w:rFonts w:ascii="Times New Roman" w:hAnsi="Times New Roman" w:cs="Times New Roman"/>
          <w:sz w:val="24"/>
          <w:szCs w:val="24"/>
        </w:rPr>
        <w:t xml:space="preserve">“ šildymo pastatuose. Be to, jie daugiausiai naudoja elektrą, didžiąja dalimi pagamintą iškastiniu kuru, tad menkai prisideda prie klimato kaitos problemų sprendimo. Sudėtingesnės technologijos kol kas labai brangios. </w:t>
      </w:r>
    </w:p>
    <w:p w14:paraId="7AE900E8" w14:textId="77777777" w:rsidR="00705D4A" w:rsidRPr="00705D4A" w:rsidRDefault="00705D4A" w:rsidP="00705D4A">
      <w:pPr>
        <w:jc w:val="both"/>
        <w:rPr>
          <w:rFonts w:ascii="Times New Roman" w:hAnsi="Times New Roman" w:cs="Times New Roman"/>
          <w:sz w:val="24"/>
          <w:szCs w:val="24"/>
        </w:rPr>
      </w:pPr>
    </w:p>
    <w:p w14:paraId="57D4C4A2" w14:textId="3B039FDF" w:rsidR="00705D4A" w:rsidRPr="00705D4A" w:rsidRDefault="00705D4A" w:rsidP="00705D4A">
      <w:pPr>
        <w:jc w:val="both"/>
        <w:rPr>
          <w:rFonts w:ascii="Times New Roman" w:hAnsi="Times New Roman" w:cs="Times New Roman"/>
          <w:sz w:val="24"/>
          <w:szCs w:val="24"/>
        </w:rPr>
      </w:pPr>
      <w:r w:rsidRPr="00705D4A">
        <w:rPr>
          <w:rFonts w:ascii="Times New Roman" w:hAnsi="Times New Roman" w:cs="Times New Roman"/>
          <w:sz w:val="24"/>
          <w:szCs w:val="24"/>
        </w:rPr>
        <w:t xml:space="preserve">Smulkintos medienos paklausa auga ne tik Lietuvoje - jos naudojimo pajėgumai sparčiai didėja tiek Šiaurės šalyse, tiek ir Baltarusijoje, Lenkijoje, Vokietijoje ir kt. Dėl didėjančio poreikio </w:t>
      </w:r>
      <w:r>
        <w:rPr>
          <w:rFonts w:ascii="Times New Roman" w:hAnsi="Times New Roman" w:cs="Times New Roman"/>
          <w:sz w:val="24"/>
          <w:szCs w:val="24"/>
        </w:rPr>
        <w:t>biokurą</w:t>
      </w:r>
      <w:r w:rsidRPr="00705D4A">
        <w:rPr>
          <w:rFonts w:ascii="Times New Roman" w:hAnsi="Times New Roman" w:cs="Times New Roman"/>
          <w:sz w:val="24"/>
          <w:szCs w:val="24"/>
        </w:rPr>
        <w:t xml:space="preserve"> į Europą pradėta transportuoti dideliais atstumais net iš Lotynų Amerikos ar Kanados. Dėl smulkintos medienos tenka konkuruoti ir su plintančiais plokščių gamybos ir celiuliozės fabrikais. Visa tai liudija, kad jos paklausa, tuo pačiu ir kainos greičiausiai tik didės. Europos Komisija imasi teisinio reguliavimo, skatindama tvariai naudoti daugiau vietinės kilmės žaliavą, tad biokuro importas ateityje bus mažiau patrauklus, o </w:t>
      </w:r>
      <w:r w:rsidRPr="00705D4A">
        <w:rPr>
          <w:rFonts w:ascii="Times New Roman" w:hAnsi="Times New Roman" w:cs="Times New Roman"/>
          <w:b/>
          <w:bCs/>
          <w:sz w:val="24"/>
          <w:szCs w:val="24"/>
        </w:rPr>
        <w:t>biokuro kainos labiau priklausys nuo vietinės rinkos struktūros ir konkurencingumo</w:t>
      </w:r>
      <w:r w:rsidRPr="00705D4A">
        <w:rPr>
          <w:rFonts w:ascii="Times New Roman" w:hAnsi="Times New Roman" w:cs="Times New Roman"/>
          <w:sz w:val="24"/>
          <w:szCs w:val="24"/>
        </w:rPr>
        <w:t xml:space="preserve">.  </w:t>
      </w:r>
    </w:p>
    <w:p w14:paraId="18885A8A" w14:textId="77777777" w:rsidR="00705D4A" w:rsidRPr="00705D4A" w:rsidRDefault="00705D4A" w:rsidP="00705D4A">
      <w:pPr>
        <w:jc w:val="both"/>
        <w:rPr>
          <w:rFonts w:ascii="Times New Roman" w:hAnsi="Times New Roman" w:cs="Times New Roman"/>
          <w:sz w:val="24"/>
          <w:szCs w:val="24"/>
        </w:rPr>
      </w:pPr>
    </w:p>
    <w:p w14:paraId="420611E3" w14:textId="7C5B36BC" w:rsidR="00705D4A" w:rsidRPr="00705D4A" w:rsidRDefault="00705D4A" w:rsidP="00705D4A">
      <w:pPr>
        <w:jc w:val="both"/>
        <w:rPr>
          <w:rFonts w:ascii="Times New Roman" w:hAnsi="Times New Roman" w:cs="Times New Roman"/>
          <w:bCs/>
          <w:sz w:val="24"/>
          <w:szCs w:val="24"/>
          <w:lang w:val="en-US"/>
        </w:rPr>
      </w:pPr>
      <w:r>
        <w:rPr>
          <w:rFonts w:ascii="Times New Roman" w:hAnsi="Times New Roman" w:cs="Times New Roman"/>
          <w:sz w:val="24"/>
          <w:szCs w:val="24"/>
        </w:rPr>
        <w:t>Šiuo metu b</w:t>
      </w:r>
      <w:r w:rsidRPr="00705D4A">
        <w:rPr>
          <w:rFonts w:ascii="Times New Roman" w:hAnsi="Times New Roman" w:cs="Times New Roman"/>
          <w:sz w:val="24"/>
          <w:szCs w:val="24"/>
        </w:rPr>
        <w:t xml:space="preserve">esiklostanti situacija Lietuvos biokuro rinkoje indikuoja, </w:t>
      </w:r>
      <w:r w:rsidRPr="00705D4A">
        <w:rPr>
          <w:rFonts w:ascii="Times New Roman" w:hAnsi="Times New Roman" w:cs="Times New Roman"/>
          <w:sz w:val="24"/>
          <w:szCs w:val="24"/>
          <w:lang w:val="en-US"/>
        </w:rPr>
        <w:t xml:space="preserve">jog 2020/2021 m. </w:t>
      </w:r>
      <w:proofErr w:type="spellStart"/>
      <w:r w:rsidRPr="00705D4A">
        <w:rPr>
          <w:rFonts w:ascii="Times New Roman" w:hAnsi="Times New Roman" w:cs="Times New Roman"/>
          <w:sz w:val="24"/>
          <w:szCs w:val="24"/>
          <w:lang w:val="en-US"/>
        </w:rPr>
        <w:t>šildymo</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sezono</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metu</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centralizuotai</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tiekiamos</w:t>
      </w:r>
      <w:proofErr w:type="spellEnd"/>
      <w:r w:rsidRPr="00705D4A">
        <w:rPr>
          <w:rFonts w:ascii="Times New Roman" w:hAnsi="Times New Roman" w:cs="Times New Roman"/>
          <w:sz w:val="24"/>
          <w:szCs w:val="24"/>
          <w:lang w:val="en-US"/>
        </w:rPr>
        <w:t xml:space="preserve"> šilumos </w:t>
      </w:r>
      <w:proofErr w:type="spellStart"/>
      <w:r w:rsidRPr="00705D4A">
        <w:rPr>
          <w:rFonts w:ascii="Times New Roman" w:hAnsi="Times New Roman" w:cs="Times New Roman"/>
          <w:sz w:val="24"/>
          <w:szCs w:val="24"/>
          <w:lang w:val="en-US"/>
        </w:rPr>
        <w:t>kainos</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gyventojams</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gali</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išaugti</w:t>
      </w:r>
      <w:proofErr w:type="spellEnd"/>
      <w:r w:rsidRPr="00705D4A">
        <w:rPr>
          <w:rFonts w:ascii="Times New Roman" w:hAnsi="Times New Roman" w:cs="Times New Roman"/>
          <w:sz w:val="24"/>
          <w:szCs w:val="24"/>
          <w:lang w:val="en-US"/>
        </w:rPr>
        <w:t xml:space="preserve">. To </w:t>
      </w:r>
      <w:proofErr w:type="spellStart"/>
      <w:r w:rsidRPr="00705D4A">
        <w:rPr>
          <w:rFonts w:ascii="Times New Roman" w:hAnsi="Times New Roman" w:cs="Times New Roman"/>
          <w:sz w:val="24"/>
          <w:szCs w:val="24"/>
          <w:lang w:val="en-US"/>
        </w:rPr>
        <w:t>priežastis</w:t>
      </w:r>
      <w:proofErr w:type="spellEnd"/>
      <w:r w:rsidRPr="00705D4A">
        <w:rPr>
          <w:rFonts w:ascii="Times New Roman" w:hAnsi="Times New Roman" w:cs="Times New Roman"/>
          <w:sz w:val="24"/>
          <w:szCs w:val="24"/>
          <w:lang w:val="en-US"/>
        </w:rPr>
        <w:t xml:space="preserve"> - </w:t>
      </w:r>
      <w:proofErr w:type="spellStart"/>
      <w:r w:rsidRPr="00705D4A">
        <w:rPr>
          <w:rFonts w:ascii="Times New Roman" w:hAnsi="Times New Roman" w:cs="Times New Roman"/>
          <w:sz w:val="24"/>
          <w:szCs w:val="24"/>
          <w:lang w:val="en-US"/>
        </w:rPr>
        <w:t>biokuro</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kainų</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reikšmingas</w:t>
      </w:r>
      <w:proofErr w:type="spellEnd"/>
      <w:r w:rsidRPr="00705D4A">
        <w:rPr>
          <w:rFonts w:ascii="Times New Roman" w:hAnsi="Times New Roman" w:cs="Times New Roman"/>
          <w:sz w:val="24"/>
          <w:szCs w:val="24"/>
          <w:lang w:val="en-US"/>
        </w:rPr>
        <w:t xml:space="preserve"> </w:t>
      </w:r>
      <w:proofErr w:type="spellStart"/>
      <w:r w:rsidRPr="00705D4A">
        <w:rPr>
          <w:rFonts w:ascii="Times New Roman" w:hAnsi="Times New Roman" w:cs="Times New Roman"/>
          <w:sz w:val="24"/>
          <w:szCs w:val="24"/>
          <w:lang w:val="en-US"/>
        </w:rPr>
        <w:t>didėjimas</w:t>
      </w:r>
      <w:proofErr w:type="spellEnd"/>
      <w:r w:rsidRPr="00705D4A">
        <w:rPr>
          <w:rFonts w:ascii="Times New Roman" w:hAnsi="Times New Roman" w:cs="Times New Roman"/>
          <w:sz w:val="24"/>
          <w:szCs w:val="24"/>
          <w:lang w:val="en-US"/>
        </w:rPr>
        <w:t xml:space="preserve">. </w:t>
      </w:r>
      <w:r w:rsidRPr="00705D4A">
        <w:rPr>
          <w:rFonts w:ascii="Times New Roman" w:hAnsi="Times New Roman" w:cs="Times New Roman"/>
          <w:sz w:val="24"/>
          <w:szCs w:val="24"/>
        </w:rPr>
        <w:t xml:space="preserve">Šiuo metu energijos išteklių biržoje </w:t>
      </w:r>
      <w:proofErr w:type="spellStart"/>
      <w:r w:rsidRPr="00705D4A">
        <w:rPr>
          <w:rFonts w:ascii="Times New Roman" w:hAnsi="Times New Roman" w:cs="Times New Roman"/>
          <w:sz w:val="24"/>
          <w:szCs w:val="24"/>
        </w:rPr>
        <w:t>Baltpool</w:t>
      </w:r>
      <w:proofErr w:type="spellEnd"/>
      <w:r w:rsidRPr="00705D4A">
        <w:rPr>
          <w:rFonts w:ascii="Times New Roman" w:hAnsi="Times New Roman" w:cs="Times New Roman"/>
          <w:sz w:val="24"/>
          <w:szCs w:val="24"/>
        </w:rPr>
        <w:t xml:space="preserve"> yra sudaryta ilgalaikių sandorių, kuriais šilumos įmonės užsitikrino kol kas tik apie 10 proc. artėjančiam šildymo sezonui reikalingo biokuro kiekio. Sudarytų kontraktų kaina rodo, kad biokuro kaina, lyginant su 2020/2021 metų šildymo sezonu, Lietuvoje gali didėti maždaug 40-60 proc. Atskirų įmonių skaičiavimais dėl didėjančių </w:t>
      </w:r>
      <w:proofErr w:type="spellStart"/>
      <w:r w:rsidRPr="00705D4A">
        <w:rPr>
          <w:rFonts w:ascii="Times New Roman" w:hAnsi="Times New Roman" w:cs="Times New Roman"/>
          <w:bCs/>
          <w:sz w:val="24"/>
          <w:szCs w:val="24"/>
          <w:lang w:val="en-US"/>
        </w:rPr>
        <w:t>išlaidų</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biokurui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galutinė</w:t>
      </w:r>
      <w:proofErr w:type="spellEnd"/>
      <w:r w:rsidRPr="00705D4A">
        <w:rPr>
          <w:rFonts w:ascii="Times New Roman" w:hAnsi="Times New Roman" w:cs="Times New Roman"/>
          <w:bCs/>
          <w:sz w:val="24"/>
          <w:szCs w:val="24"/>
          <w:lang w:val="en-US"/>
        </w:rPr>
        <w:t xml:space="preserve"> šilumos </w:t>
      </w:r>
      <w:proofErr w:type="spellStart"/>
      <w:r w:rsidRPr="00705D4A">
        <w:rPr>
          <w:rFonts w:ascii="Times New Roman" w:hAnsi="Times New Roman" w:cs="Times New Roman"/>
          <w:bCs/>
          <w:sz w:val="24"/>
          <w:szCs w:val="24"/>
          <w:lang w:val="en-US"/>
        </w:rPr>
        <w:t>kaina</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jau</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šią</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žiemą</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gali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išaugti</w:t>
      </w:r>
      <w:proofErr w:type="spellEnd"/>
      <w:r w:rsidRPr="00705D4A">
        <w:rPr>
          <w:rFonts w:ascii="Times New Roman" w:hAnsi="Times New Roman" w:cs="Times New Roman"/>
          <w:bCs/>
          <w:sz w:val="24"/>
          <w:szCs w:val="24"/>
          <w:lang w:val="en-US"/>
        </w:rPr>
        <w:t xml:space="preserve"> 10-30 proc.</w:t>
      </w:r>
    </w:p>
    <w:p w14:paraId="7DE8FC51" w14:textId="77777777" w:rsidR="00705D4A" w:rsidRPr="00705D4A" w:rsidRDefault="00705D4A" w:rsidP="00705D4A">
      <w:pPr>
        <w:jc w:val="both"/>
        <w:rPr>
          <w:rFonts w:ascii="Times New Roman" w:hAnsi="Times New Roman" w:cs="Times New Roman"/>
          <w:bCs/>
          <w:sz w:val="24"/>
          <w:szCs w:val="24"/>
          <w:lang w:val="en-US"/>
        </w:rPr>
      </w:pPr>
    </w:p>
    <w:p w14:paraId="6E249ADF" w14:textId="2C9CA447" w:rsidR="00705D4A" w:rsidRPr="00705D4A" w:rsidRDefault="00705D4A" w:rsidP="00705D4A">
      <w:pPr>
        <w:jc w:val="both"/>
        <w:rPr>
          <w:rFonts w:ascii="Times New Roman" w:hAnsi="Times New Roman" w:cs="Times New Roman"/>
          <w:bCs/>
          <w:sz w:val="24"/>
          <w:szCs w:val="24"/>
          <w:lang w:val="en-US"/>
        </w:rPr>
      </w:pPr>
      <w:proofErr w:type="spellStart"/>
      <w:r w:rsidRPr="00705D4A">
        <w:rPr>
          <w:rFonts w:ascii="Times New Roman" w:hAnsi="Times New Roman" w:cs="Times New Roman"/>
          <w:bCs/>
          <w:sz w:val="24"/>
          <w:szCs w:val="24"/>
          <w:lang w:val="en-US"/>
        </w:rPr>
        <w:t>Įvertinant</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kad</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
          <w:sz w:val="24"/>
          <w:szCs w:val="24"/>
          <w:lang w:val="en-US"/>
        </w:rPr>
        <w:t>smulkinta</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mediena</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tapo</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svarbiausia</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kuro</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rūšimi</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Lietuvoje</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lemianti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šalies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gyventojų</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šildymo</w:t>
      </w:r>
      <w:proofErr w:type="spellEnd"/>
      <w:r w:rsidRPr="00705D4A">
        <w:rPr>
          <w:rFonts w:ascii="Times New Roman" w:hAnsi="Times New Roman" w:cs="Times New Roman"/>
          <w:bCs/>
          <w:sz w:val="24"/>
          <w:szCs w:val="24"/>
          <w:lang w:val="en-US"/>
        </w:rPr>
        <w:t xml:space="preserve"> ir </w:t>
      </w:r>
      <w:proofErr w:type="spellStart"/>
      <w:r w:rsidRPr="00705D4A">
        <w:rPr>
          <w:rFonts w:ascii="Times New Roman" w:hAnsi="Times New Roman" w:cs="Times New Roman"/>
          <w:bCs/>
          <w:sz w:val="24"/>
          <w:szCs w:val="24"/>
          <w:lang w:val="en-US"/>
        </w:rPr>
        <w:t>karšto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vandens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išlaidas</w:t>
      </w:r>
      <w:proofErr w:type="spellEnd"/>
      <w:r w:rsidRPr="00705D4A">
        <w:rPr>
          <w:rFonts w:ascii="Times New Roman" w:hAnsi="Times New Roman" w:cs="Times New Roman"/>
          <w:bCs/>
          <w:sz w:val="24"/>
          <w:szCs w:val="24"/>
          <w:lang w:val="en-US"/>
        </w:rPr>
        <w:t xml:space="preserve">, o </w:t>
      </w:r>
      <w:proofErr w:type="spellStart"/>
      <w:r w:rsidRPr="00705D4A">
        <w:rPr>
          <w:rFonts w:ascii="Times New Roman" w:hAnsi="Times New Roman" w:cs="Times New Roman"/>
          <w:bCs/>
          <w:sz w:val="24"/>
          <w:szCs w:val="24"/>
          <w:lang w:val="en-US"/>
        </w:rPr>
        <w:t>dalinai</w:t>
      </w:r>
      <w:proofErr w:type="spellEnd"/>
      <w:r w:rsidRPr="00705D4A">
        <w:rPr>
          <w:rFonts w:ascii="Times New Roman" w:hAnsi="Times New Roman" w:cs="Times New Roman"/>
          <w:bCs/>
          <w:sz w:val="24"/>
          <w:szCs w:val="24"/>
          <w:lang w:val="en-US"/>
        </w:rPr>
        <w:t xml:space="preserve"> ir </w:t>
      </w:r>
      <w:proofErr w:type="spellStart"/>
      <w:r w:rsidRPr="00705D4A">
        <w:rPr>
          <w:rFonts w:ascii="Times New Roman" w:hAnsi="Times New Roman" w:cs="Times New Roman"/>
          <w:bCs/>
          <w:sz w:val="24"/>
          <w:szCs w:val="24"/>
          <w:lang w:val="en-US"/>
        </w:rPr>
        <w:t>eilės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pramonės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įmonių</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sąnaudas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bei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turi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lastRenderedPageBreak/>
        <w:t>įtakos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elektros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generavimo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stabilumui</w:t>
      </w:r>
      <w:proofErr w:type="spellEnd"/>
      <w:r w:rsidRPr="00705D4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ir</w:t>
      </w:r>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jos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kainoms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manome</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kad</w:t>
      </w:r>
      <w:proofErr w:type="spellEnd"/>
      <w:r w:rsidRPr="00705D4A">
        <w:rPr>
          <w:rFonts w:ascii="Times New Roman" w:hAnsi="Times New Roman" w:cs="Times New Roman"/>
          <w:bCs/>
          <w:sz w:val="24"/>
          <w:szCs w:val="24"/>
          <w:lang w:val="en-US"/>
        </w:rPr>
        <w:t xml:space="preserve"> Lietuvos </w:t>
      </w:r>
      <w:proofErr w:type="spellStart"/>
      <w:r w:rsidRPr="00705D4A">
        <w:rPr>
          <w:rFonts w:ascii="Times New Roman" w:hAnsi="Times New Roman" w:cs="Times New Roman"/>
          <w:bCs/>
          <w:sz w:val="24"/>
          <w:szCs w:val="24"/>
          <w:lang w:val="en-US"/>
        </w:rPr>
        <w:t>valstybinės</w:t>
      </w:r>
      <w:proofErr w:type="spellEnd"/>
      <w:r w:rsidRPr="00705D4A">
        <w:rPr>
          <w:rFonts w:ascii="Times New Roman" w:hAnsi="Times New Roman" w:cs="Times New Roman"/>
          <w:bCs/>
          <w:sz w:val="24"/>
          <w:szCs w:val="24"/>
          <w:lang w:val="en-US"/>
        </w:rPr>
        <w:t xml:space="preserve"> </w:t>
      </w:r>
      <w:proofErr w:type="spellStart"/>
      <w:proofErr w:type="gramStart"/>
      <w:r w:rsidRPr="00705D4A">
        <w:rPr>
          <w:rFonts w:ascii="Times New Roman" w:hAnsi="Times New Roman" w:cs="Times New Roman"/>
          <w:bCs/>
          <w:sz w:val="24"/>
          <w:szCs w:val="24"/>
          <w:lang w:val="en-US"/>
        </w:rPr>
        <w:t>įstaigos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turi</w:t>
      </w:r>
      <w:proofErr w:type="spellEnd"/>
      <w:proofErr w:type="gram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aktyviau</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prisidėti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patikimai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aprūpinant</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šalies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energetiką</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šio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kuro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ištekliais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optimaliomis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kainomis</w:t>
      </w:r>
      <w:proofErr w:type="spellEnd"/>
      <w:r w:rsidRPr="00705D4A">
        <w:rPr>
          <w:rFonts w:ascii="Times New Roman" w:hAnsi="Times New Roman" w:cs="Times New Roman"/>
          <w:bCs/>
          <w:sz w:val="24"/>
          <w:szCs w:val="24"/>
          <w:lang w:val="en-US"/>
        </w:rPr>
        <w:t xml:space="preserve">. </w:t>
      </w:r>
    </w:p>
    <w:p w14:paraId="0D564923" w14:textId="77777777" w:rsidR="00705D4A" w:rsidRPr="00705D4A" w:rsidRDefault="00705D4A" w:rsidP="00705D4A">
      <w:pPr>
        <w:jc w:val="both"/>
        <w:rPr>
          <w:rFonts w:ascii="Times New Roman" w:hAnsi="Times New Roman" w:cs="Times New Roman"/>
          <w:bCs/>
          <w:sz w:val="24"/>
          <w:szCs w:val="24"/>
          <w:lang w:val="en-US"/>
        </w:rPr>
      </w:pPr>
    </w:p>
    <w:p w14:paraId="42407B63" w14:textId="77777777" w:rsidR="00705D4A" w:rsidRPr="00705D4A" w:rsidRDefault="00705D4A" w:rsidP="00705D4A">
      <w:pPr>
        <w:jc w:val="both"/>
        <w:rPr>
          <w:rFonts w:ascii="Times New Roman" w:hAnsi="Times New Roman" w:cs="Times New Roman"/>
          <w:bCs/>
          <w:sz w:val="24"/>
          <w:szCs w:val="24"/>
          <w:lang w:val="en-US"/>
        </w:rPr>
      </w:pPr>
      <w:r w:rsidRPr="00705D4A">
        <w:rPr>
          <w:rFonts w:ascii="Times New Roman" w:hAnsi="Times New Roman" w:cs="Times New Roman"/>
          <w:bCs/>
          <w:sz w:val="24"/>
          <w:szCs w:val="24"/>
        </w:rPr>
        <w:t xml:space="preserve">Biokuro įsigijimo kainą biržoje formuoja paklausos ir pasiūlos santykis. Todėl siekiant stabilizuoti  kainų augimą, biokuro tiekime turėtų aktyviau dalyvauti Valstybinių miškų urėdija (toliau - VMU), kuri turi visas galimybes į rinką tiekti ne tik žaliavą, bet ir reikšmingus biokuro kiekius. </w:t>
      </w:r>
      <w:proofErr w:type="spellStart"/>
      <w:r w:rsidRPr="00705D4A">
        <w:rPr>
          <w:rFonts w:ascii="Times New Roman" w:hAnsi="Times New Roman" w:cs="Times New Roman"/>
          <w:bCs/>
          <w:sz w:val="24"/>
          <w:szCs w:val="24"/>
          <w:lang w:val="en-US"/>
        </w:rPr>
        <w:t>Valstybiniai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miškai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sudaro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didesnę</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dalį</w:t>
      </w:r>
      <w:proofErr w:type="spellEnd"/>
      <w:r w:rsidRPr="00705D4A">
        <w:rPr>
          <w:rFonts w:ascii="Times New Roman" w:hAnsi="Times New Roman" w:cs="Times New Roman"/>
          <w:bCs/>
          <w:sz w:val="24"/>
          <w:szCs w:val="24"/>
          <w:lang w:val="en-US"/>
        </w:rPr>
        <w:t xml:space="preserve"> Lietuvos </w:t>
      </w:r>
      <w:proofErr w:type="spellStart"/>
      <w:r w:rsidRPr="00705D4A">
        <w:rPr>
          <w:rFonts w:ascii="Times New Roman" w:hAnsi="Times New Roman" w:cs="Times New Roman"/>
          <w:bCs/>
          <w:sz w:val="24"/>
          <w:szCs w:val="24"/>
          <w:lang w:val="en-US"/>
        </w:rPr>
        <w:t>miškų</w:t>
      </w:r>
      <w:proofErr w:type="spellEnd"/>
      <w:r w:rsidRPr="00705D4A">
        <w:rPr>
          <w:rFonts w:ascii="Times New Roman" w:hAnsi="Times New Roman" w:cs="Times New Roman"/>
          <w:bCs/>
          <w:sz w:val="24"/>
          <w:szCs w:val="24"/>
          <w:lang w:val="en-US"/>
        </w:rPr>
        <w:t xml:space="preserve">, o </w:t>
      </w:r>
      <w:proofErr w:type="spellStart"/>
      <w:r w:rsidRPr="00705D4A">
        <w:rPr>
          <w:rFonts w:ascii="Times New Roman" w:hAnsi="Times New Roman" w:cs="Times New Roman"/>
          <w:bCs/>
          <w:sz w:val="24"/>
          <w:szCs w:val="24"/>
          <w:lang w:val="en-US"/>
        </w:rPr>
        <w:t>didesnės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apimties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galutinio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biokuro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ruoša</w:t>
      </w:r>
      <w:proofErr w:type="spellEnd"/>
      <w:r w:rsidRPr="00705D4A">
        <w:rPr>
          <w:rFonts w:ascii="Times New Roman" w:hAnsi="Times New Roman" w:cs="Times New Roman"/>
          <w:bCs/>
          <w:sz w:val="24"/>
          <w:szCs w:val="24"/>
          <w:lang w:val="en-US"/>
        </w:rPr>
        <w:t xml:space="preserve"> ir </w:t>
      </w:r>
      <w:proofErr w:type="spellStart"/>
      <w:r w:rsidRPr="00705D4A">
        <w:rPr>
          <w:rFonts w:ascii="Times New Roman" w:hAnsi="Times New Roman" w:cs="Times New Roman"/>
          <w:bCs/>
          <w:sz w:val="24"/>
          <w:szCs w:val="24"/>
          <w:lang w:val="en-US"/>
        </w:rPr>
        <w:t>pardavimas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su</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protinga</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pelno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marža</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energetikos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įmonėms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būtų</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biokuro</w:t>
      </w:r>
      <w:proofErr w:type="spellEnd"/>
      <w:r w:rsidRPr="00705D4A">
        <w:rPr>
          <w:rFonts w:ascii="Times New Roman" w:hAnsi="Times New Roman" w:cs="Times New Roman"/>
          <w:bCs/>
          <w:sz w:val="24"/>
          <w:szCs w:val="24"/>
          <w:lang w:val="en-US"/>
        </w:rPr>
        <w:t xml:space="preserve"> ir </w:t>
      </w:r>
      <w:proofErr w:type="spellStart"/>
      <w:r w:rsidRPr="00705D4A">
        <w:rPr>
          <w:rFonts w:ascii="Times New Roman" w:hAnsi="Times New Roman" w:cs="Times New Roman"/>
          <w:bCs/>
          <w:sz w:val="24"/>
          <w:szCs w:val="24"/>
          <w:lang w:val="en-US"/>
        </w:rPr>
        <w:t>atitinkamai</w:t>
      </w:r>
      <w:proofErr w:type="spellEnd"/>
      <w:r w:rsidRPr="00705D4A">
        <w:rPr>
          <w:rFonts w:ascii="Times New Roman" w:hAnsi="Times New Roman" w:cs="Times New Roman"/>
          <w:bCs/>
          <w:sz w:val="24"/>
          <w:szCs w:val="24"/>
          <w:lang w:val="en-US"/>
        </w:rPr>
        <w:t xml:space="preserve"> šilumos </w:t>
      </w:r>
      <w:proofErr w:type="spellStart"/>
      <w:r w:rsidRPr="00705D4A">
        <w:rPr>
          <w:rFonts w:ascii="Times New Roman" w:hAnsi="Times New Roman" w:cs="Times New Roman"/>
          <w:bCs/>
          <w:sz w:val="24"/>
          <w:szCs w:val="24"/>
          <w:lang w:val="en-US"/>
        </w:rPr>
        <w:t>kainų</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stabilumo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garantas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Galimos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aktyvesnio</w:t>
      </w:r>
      <w:proofErr w:type="spellEnd"/>
      <w:r w:rsidRPr="00705D4A">
        <w:rPr>
          <w:rFonts w:ascii="Times New Roman" w:hAnsi="Times New Roman" w:cs="Times New Roman"/>
          <w:bCs/>
          <w:sz w:val="24"/>
          <w:szCs w:val="24"/>
          <w:lang w:val="en-US"/>
        </w:rPr>
        <w:t xml:space="preserve"> VMU </w:t>
      </w:r>
      <w:proofErr w:type="spellStart"/>
      <w:r w:rsidRPr="00705D4A">
        <w:rPr>
          <w:rFonts w:ascii="Times New Roman" w:hAnsi="Times New Roman" w:cs="Times New Roman"/>
          <w:bCs/>
          <w:sz w:val="24"/>
          <w:szCs w:val="24"/>
          <w:lang w:val="en-US"/>
        </w:rPr>
        <w:t>dalyvavimo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biokuro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rinkoje</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priemonės</w:t>
      </w:r>
      <w:proofErr w:type="spellEnd"/>
      <w:r w:rsidRPr="00705D4A">
        <w:rPr>
          <w:rFonts w:ascii="Times New Roman" w:hAnsi="Times New Roman" w:cs="Times New Roman"/>
          <w:bCs/>
          <w:sz w:val="24"/>
          <w:szCs w:val="24"/>
          <w:lang w:val="en-US"/>
        </w:rPr>
        <w:t>:</w:t>
      </w:r>
    </w:p>
    <w:p w14:paraId="3ECA5D3B" w14:textId="77777777" w:rsidR="00705D4A" w:rsidRPr="00705D4A" w:rsidRDefault="00705D4A" w:rsidP="00705D4A">
      <w:pPr>
        <w:jc w:val="both"/>
        <w:rPr>
          <w:rFonts w:ascii="Times New Roman" w:hAnsi="Times New Roman" w:cs="Times New Roman"/>
          <w:bCs/>
          <w:sz w:val="24"/>
          <w:szCs w:val="24"/>
          <w:lang w:val="en-US"/>
        </w:rPr>
      </w:pPr>
    </w:p>
    <w:p w14:paraId="74677939" w14:textId="77777777" w:rsidR="00705D4A" w:rsidRPr="00705D4A" w:rsidRDefault="00705D4A" w:rsidP="00705D4A">
      <w:pPr>
        <w:numPr>
          <w:ilvl w:val="0"/>
          <w:numId w:val="6"/>
        </w:numPr>
        <w:tabs>
          <w:tab w:val="clear" w:pos="720"/>
          <w:tab w:val="num" w:pos="990"/>
        </w:tabs>
        <w:ind w:left="990"/>
        <w:jc w:val="both"/>
        <w:rPr>
          <w:rFonts w:ascii="Times New Roman" w:hAnsi="Times New Roman" w:cs="Times New Roman"/>
          <w:bCs/>
          <w:sz w:val="24"/>
          <w:szCs w:val="24"/>
        </w:rPr>
      </w:pPr>
      <w:r w:rsidRPr="00705D4A">
        <w:rPr>
          <w:rFonts w:ascii="Times New Roman" w:hAnsi="Times New Roman" w:cs="Times New Roman"/>
          <w:bCs/>
          <w:sz w:val="24"/>
          <w:szCs w:val="24"/>
        </w:rPr>
        <w:t xml:space="preserve">Nustatyti kvotas ar </w:t>
      </w:r>
      <w:r w:rsidRPr="00705D4A">
        <w:rPr>
          <w:rFonts w:ascii="Times New Roman" w:hAnsi="Times New Roman" w:cs="Times New Roman"/>
          <w:b/>
          <w:sz w:val="24"/>
          <w:szCs w:val="24"/>
        </w:rPr>
        <w:t>valstybinius užsakymus</w:t>
      </w:r>
      <w:r w:rsidRPr="00705D4A">
        <w:rPr>
          <w:rFonts w:ascii="Times New Roman" w:hAnsi="Times New Roman" w:cs="Times New Roman"/>
          <w:bCs/>
          <w:sz w:val="24"/>
          <w:szCs w:val="24"/>
        </w:rPr>
        <w:t>, kurie leistų palaipsniui padidinti į biokuro biržą patiekiamus galutinai paruoštos smulkintos medienos kiekius</w:t>
      </w:r>
    </w:p>
    <w:p w14:paraId="40A262EA" w14:textId="77777777" w:rsidR="00705D4A" w:rsidRPr="00705D4A" w:rsidRDefault="00705D4A" w:rsidP="00705D4A">
      <w:pPr>
        <w:numPr>
          <w:ilvl w:val="0"/>
          <w:numId w:val="6"/>
        </w:numPr>
        <w:tabs>
          <w:tab w:val="clear" w:pos="720"/>
          <w:tab w:val="num" w:pos="990"/>
        </w:tabs>
        <w:ind w:left="990"/>
        <w:jc w:val="both"/>
        <w:rPr>
          <w:rFonts w:ascii="Times New Roman" w:hAnsi="Times New Roman" w:cs="Times New Roman"/>
          <w:bCs/>
          <w:sz w:val="24"/>
          <w:szCs w:val="24"/>
        </w:rPr>
      </w:pPr>
      <w:r w:rsidRPr="00705D4A">
        <w:rPr>
          <w:rFonts w:ascii="Times New Roman" w:hAnsi="Times New Roman" w:cs="Times New Roman"/>
          <w:bCs/>
          <w:sz w:val="24"/>
          <w:szCs w:val="24"/>
        </w:rPr>
        <w:t xml:space="preserve">VMU galėtų </w:t>
      </w:r>
      <w:r w:rsidRPr="00705D4A">
        <w:rPr>
          <w:rFonts w:ascii="Times New Roman" w:hAnsi="Times New Roman" w:cs="Times New Roman"/>
          <w:b/>
          <w:sz w:val="24"/>
          <w:szCs w:val="24"/>
        </w:rPr>
        <w:t>suformuoti patikimai bet kokiu oru prieinamus biokuro sandėlius</w:t>
      </w:r>
      <w:r w:rsidRPr="00705D4A">
        <w:rPr>
          <w:rFonts w:ascii="Times New Roman" w:hAnsi="Times New Roman" w:cs="Times New Roman"/>
          <w:bCs/>
          <w:sz w:val="24"/>
          <w:szCs w:val="24"/>
        </w:rPr>
        <w:t xml:space="preserve"> ir taip išvengti biokuro deficito ar kainų šuolio nepalankaus oro sąlygomis. Toks biokuras galėtų būti specifikuojamas kaip rezervinis ir sunaudojamas jį užsisakiusių įmonių iki šildymo sezono pabaigos. Tai sudarytų galimybes sumažinti biokuro kiekius saugomus katilinėse ir elektrinėse, jeigu rezervinis kuras būtų patikimai pristatomas pareikalavus po 2-3 parų.</w:t>
      </w:r>
    </w:p>
    <w:p w14:paraId="30B9715E" w14:textId="77777777" w:rsidR="00705D4A" w:rsidRPr="00705D4A" w:rsidRDefault="00705D4A" w:rsidP="00705D4A">
      <w:pPr>
        <w:numPr>
          <w:ilvl w:val="0"/>
          <w:numId w:val="6"/>
        </w:numPr>
        <w:tabs>
          <w:tab w:val="clear" w:pos="720"/>
          <w:tab w:val="num" w:pos="990"/>
        </w:tabs>
        <w:ind w:left="990"/>
        <w:jc w:val="both"/>
        <w:rPr>
          <w:rFonts w:ascii="Times New Roman" w:hAnsi="Times New Roman" w:cs="Times New Roman"/>
          <w:bCs/>
          <w:sz w:val="24"/>
          <w:szCs w:val="24"/>
        </w:rPr>
      </w:pPr>
      <w:r w:rsidRPr="00705D4A">
        <w:rPr>
          <w:rFonts w:ascii="Times New Roman" w:hAnsi="Times New Roman" w:cs="Times New Roman"/>
          <w:bCs/>
          <w:sz w:val="24"/>
          <w:szCs w:val="24"/>
        </w:rPr>
        <w:t xml:space="preserve">Svarstytinas ir valstybinių </w:t>
      </w:r>
      <w:r w:rsidRPr="00705D4A">
        <w:rPr>
          <w:rFonts w:ascii="Times New Roman" w:hAnsi="Times New Roman" w:cs="Times New Roman"/>
          <w:b/>
          <w:sz w:val="24"/>
          <w:szCs w:val="24"/>
        </w:rPr>
        <w:t>sezoninio saugojimo biokuro strateginių atsargų suformavimas</w:t>
      </w:r>
      <w:r w:rsidRPr="00705D4A">
        <w:rPr>
          <w:rFonts w:ascii="Times New Roman" w:hAnsi="Times New Roman" w:cs="Times New Roman"/>
          <w:bCs/>
          <w:sz w:val="24"/>
          <w:szCs w:val="24"/>
        </w:rPr>
        <w:t xml:space="preserve"> VMU miško sandėliuose, kurių šiuo metu trūksta. </w:t>
      </w:r>
    </w:p>
    <w:p w14:paraId="553EEC21" w14:textId="77777777" w:rsidR="00705D4A" w:rsidRPr="00705D4A" w:rsidRDefault="00705D4A" w:rsidP="00705D4A">
      <w:pPr>
        <w:numPr>
          <w:ilvl w:val="0"/>
          <w:numId w:val="6"/>
        </w:numPr>
        <w:tabs>
          <w:tab w:val="clear" w:pos="720"/>
          <w:tab w:val="num" w:pos="990"/>
        </w:tabs>
        <w:ind w:left="990"/>
        <w:jc w:val="both"/>
        <w:rPr>
          <w:rFonts w:ascii="Times New Roman" w:hAnsi="Times New Roman" w:cs="Times New Roman"/>
          <w:bCs/>
          <w:sz w:val="24"/>
          <w:szCs w:val="24"/>
        </w:rPr>
      </w:pPr>
      <w:r w:rsidRPr="00705D4A">
        <w:rPr>
          <w:rFonts w:ascii="Times New Roman" w:hAnsi="Times New Roman" w:cs="Times New Roman"/>
          <w:sz w:val="24"/>
          <w:szCs w:val="24"/>
        </w:rPr>
        <w:t>VMU sukauptas biokuro atsargas galėtų</w:t>
      </w:r>
      <w:r w:rsidRPr="00705D4A">
        <w:rPr>
          <w:rFonts w:ascii="Times New Roman" w:hAnsi="Times New Roman" w:cs="Times New Roman"/>
          <w:b/>
          <w:bCs/>
          <w:sz w:val="24"/>
          <w:szCs w:val="24"/>
        </w:rPr>
        <w:t xml:space="preserve"> </w:t>
      </w:r>
      <w:r w:rsidRPr="00705D4A">
        <w:rPr>
          <w:rFonts w:ascii="Times New Roman" w:hAnsi="Times New Roman" w:cs="Times New Roman"/>
          <w:b/>
          <w:sz w:val="24"/>
          <w:szCs w:val="24"/>
        </w:rPr>
        <w:t>pasiūlyti rinkai, esant kritinėms sąlygoms</w:t>
      </w:r>
      <w:r w:rsidRPr="00705D4A">
        <w:rPr>
          <w:rFonts w:ascii="Times New Roman" w:hAnsi="Times New Roman" w:cs="Times New Roman"/>
          <w:bCs/>
          <w:sz w:val="24"/>
          <w:szCs w:val="24"/>
        </w:rPr>
        <w:t xml:space="preserve">: biokuro nepasiekiamumui miškuose, labai pakilus biokuro kainoms ar pan. </w:t>
      </w:r>
    </w:p>
    <w:p w14:paraId="69F584AE" w14:textId="77777777" w:rsidR="00705D4A" w:rsidRPr="00705D4A" w:rsidRDefault="00705D4A" w:rsidP="00705D4A">
      <w:pPr>
        <w:numPr>
          <w:ilvl w:val="0"/>
          <w:numId w:val="6"/>
        </w:numPr>
        <w:tabs>
          <w:tab w:val="clear" w:pos="720"/>
          <w:tab w:val="num" w:pos="990"/>
        </w:tabs>
        <w:ind w:left="990"/>
        <w:jc w:val="both"/>
        <w:rPr>
          <w:rFonts w:ascii="Times New Roman" w:hAnsi="Times New Roman" w:cs="Times New Roman"/>
          <w:bCs/>
          <w:sz w:val="24"/>
          <w:szCs w:val="24"/>
        </w:rPr>
      </w:pPr>
      <w:r w:rsidRPr="00705D4A">
        <w:rPr>
          <w:rFonts w:ascii="Times New Roman" w:hAnsi="Times New Roman" w:cs="Times New Roman"/>
          <w:bCs/>
          <w:sz w:val="24"/>
          <w:szCs w:val="24"/>
        </w:rPr>
        <w:t xml:space="preserve">VMU, kaip stambaus biokuro tiekėjo, </w:t>
      </w:r>
      <w:r w:rsidRPr="00EF24CE">
        <w:rPr>
          <w:rFonts w:ascii="Times New Roman" w:hAnsi="Times New Roman" w:cs="Times New Roman"/>
          <w:b/>
          <w:sz w:val="24"/>
          <w:szCs w:val="24"/>
        </w:rPr>
        <w:t>i</w:t>
      </w:r>
      <w:r w:rsidRPr="00705D4A">
        <w:rPr>
          <w:rFonts w:ascii="Times New Roman" w:hAnsi="Times New Roman" w:cs="Times New Roman"/>
          <w:b/>
          <w:bCs/>
          <w:sz w:val="24"/>
          <w:szCs w:val="24"/>
        </w:rPr>
        <w:t>ntervencija į biokuro rinką</w:t>
      </w:r>
      <w:r w:rsidRPr="00705D4A">
        <w:rPr>
          <w:rFonts w:ascii="Times New Roman" w:hAnsi="Times New Roman" w:cs="Times New Roman"/>
          <w:bCs/>
          <w:sz w:val="24"/>
          <w:szCs w:val="24"/>
        </w:rPr>
        <w:t xml:space="preserve"> padėtų palaikyti stabilesnį biokuro kainų lygį, o tuo pačiu ir stabilias valstybės reguliuojamas šilumos bei dalinai elektros kainas.</w:t>
      </w:r>
    </w:p>
    <w:p w14:paraId="0AEFE71F" w14:textId="77777777" w:rsidR="00705D4A" w:rsidRPr="00705D4A" w:rsidRDefault="00705D4A" w:rsidP="00705D4A">
      <w:pPr>
        <w:jc w:val="both"/>
        <w:rPr>
          <w:rFonts w:ascii="Times New Roman" w:hAnsi="Times New Roman" w:cs="Times New Roman"/>
          <w:b/>
          <w:bCs/>
          <w:i/>
          <w:sz w:val="24"/>
          <w:szCs w:val="24"/>
        </w:rPr>
      </w:pPr>
    </w:p>
    <w:p w14:paraId="308256EC" w14:textId="77777777" w:rsidR="00705D4A" w:rsidRPr="00705D4A" w:rsidRDefault="00705D4A" w:rsidP="00705D4A">
      <w:pPr>
        <w:jc w:val="both"/>
        <w:rPr>
          <w:rFonts w:ascii="Times New Roman" w:hAnsi="Times New Roman" w:cs="Times New Roman"/>
          <w:bCs/>
          <w:sz w:val="24"/>
          <w:szCs w:val="24"/>
        </w:rPr>
      </w:pPr>
      <w:r w:rsidRPr="00705D4A">
        <w:rPr>
          <w:rFonts w:ascii="Times New Roman" w:hAnsi="Times New Roman" w:cs="Times New Roman"/>
          <w:bCs/>
          <w:sz w:val="24"/>
          <w:szCs w:val="24"/>
        </w:rPr>
        <w:t xml:space="preserve">Tokiomis ar kitomis priemonėmis VMU galėtų aktyviau įsijungti į Lietuvos energetikos aprūpinimą strategiškai svarbiu biokuru, užtikrinant tiek energetinę nepriklausomybę, tiek ir optimalias šio kuro kainas.   </w:t>
      </w:r>
    </w:p>
    <w:p w14:paraId="134D5A3A" w14:textId="77777777" w:rsidR="00705D4A" w:rsidRPr="00705D4A" w:rsidRDefault="00705D4A" w:rsidP="00705D4A">
      <w:pPr>
        <w:jc w:val="both"/>
        <w:rPr>
          <w:rFonts w:ascii="Times New Roman" w:hAnsi="Times New Roman" w:cs="Times New Roman"/>
          <w:bCs/>
          <w:sz w:val="24"/>
          <w:szCs w:val="24"/>
        </w:rPr>
      </w:pPr>
    </w:p>
    <w:p w14:paraId="198B2948" w14:textId="77777777" w:rsidR="00705D4A" w:rsidRPr="00705D4A" w:rsidRDefault="00705D4A" w:rsidP="00705D4A">
      <w:pPr>
        <w:jc w:val="both"/>
        <w:rPr>
          <w:rFonts w:ascii="Times New Roman" w:hAnsi="Times New Roman" w:cs="Times New Roman"/>
          <w:bCs/>
          <w:sz w:val="24"/>
          <w:szCs w:val="24"/>
          <w:lang w:val="en-US"/>
        </w:rPr>
      </w:pPr>
      <w:r w:rsidRPr="00705D4A">
        <w:rPr>
          <w:rFonts w:ascii="Times New Roman" w:hAnsi="Times New Roman" w:cs="Times New Roman"/>
          <w:bCs/>
          <w:sz w:val="24"/>
          <w:szCs w:val="24"/>
        </w:rPr>
        <w:t xml:space="preserve">Lietuvos šilumos tiekėjų asociacija prašo valstybės institucijų formuoti politiką, siekiant </w:t>
      </w:r>
      <w:r w:rsidRPr="00705D4A">
        <w:rPr>
          <w:rFonts w:ascii="Times New Roman" w:hAnsi="Times New Roman" w:cs="Times New Roman"/>
          <w:b/>
          <w:sz w:val="24"/>
          <w:szCs w:val="24"/>
        </w:rPr>
        <w:t>a</w:t>
      </w:r>
      <w:proofErr w:type="spellStart"/>
      <w:r w:rsidRPr="00705D4A">
        <w:rPr>
          <w:rFonts w:ascii="Times New Roman" w:hAnsi="Times New Roman" w:cs="Times New Roman"/>
          <w:b/>
          <w:sz w:val="24"/>
          <w:szCs w:val="24"/>
          <w:lang w:val="en-US"/>
        </w:rPr>
        <w:t>ktyvesnio</w:t>
      </w:r>
      <w:proofErr w:type="spellEnd"/>
      <w:r w:rsidRPr="00705D4A">
        <w:rPr>
          <w:rFonts w:ascii="Times New Roman" w:hAnsi="Times New Roman" w:cs="Times New Roman"/>
          <w:b/>
          <w:sz w:val="24"/>
          <w:szCs w:val="24"/>
          <w:lang w:val="en-US"/>
        </w:rPr>
        <w:t xml:space="preserve"> ir </w:t>
      </w:r>
      <w:proofErr w:type="spellStart"/>
      <w:r w:rsidRPr="00705D4A">
        <w:rPr>
          <w:rFonts w:ascii="Times New Roman" w:hAnsi="Times New Roman" w:cs="Times New Roman"/>
          <w:b/>
          <w:sz w:val="24"/>
          <w:szCs w:val="24"/>
          <w:lang w:val="en-US"/>
        </w:rPr>
        <w:t>platesnio</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masto</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Valstybinių</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miškų</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urėdijos</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įsitraukimo</w:t>
      </w:r>
      <w:proofErr w:type="spellEnd"/>
      <w:r w:rsidRPr="00705D4A">
        <w:rPr>
          <w:rFonts w:ascii="Times New Roman" w:hAnsi="Times New Roman" w:cs="Times New Roman"/>
          <w:b/>
          <w:sz w:val="24"/>
          <w:szCs w:val="24"/>
          <w:lang w:val="en-US"/>
        </w:rPr>
        <w:t xml:space="preserve"> į </w:t>
      </w:r>
      <w:proofErr w:type="spellStart"/>
      <w:r w:rsidRPr="00705D4A">
        <w:rPr>
          <w:rFonts w:ascii="Times New Roman" w:hAnsi="Times New Roman" w:cs="Times New Roman"/>
          <w:b/>
          <w:sz w:val="24"/>
          <w:szCs w:val="24"/>
          <w:lang w:val="en-US"/>
        </w:rPr>
        <w:t>strateginio</w:t>
      </w:r>
      <w:proofErr w:type="spellEnd"/>
      <w:r w:rsidRPr="00705D4A">
        <w:rPr>
          <w:rFonts w:ascii="Times New Roman" w:hAnsi="Times New Roman" w:cs="Times New Roman"/>
          <w:b/>
          <w:sz w:val="24"/>
          <w:szCs w:val="24"/>
          <w:lang w:val="en-US"/>
        </w:rPr>
        <w:t xml:space="preserve"> Lietuvos </w:t>
      </w:r>
      <w:proofErr w:type="spellStart"/>
      <w:r w:rsidRPr="00705D4A">
        <w:rPr>
          <w:rFonts w:ascii="Times New Roman" w:hAnsi="Times New Roman" w:cs="Times New Roman"/>
          <w:b/>
          <w:sz w:val="24"/>
          <w:szCs w:val="24"/>
          <w:lang w:val="en-US"/>
        </w:rPr>
        <w:t>kuro</w:t>
      </w:r>
      <w:proofErr w:type="spellEnd"/>
      <w:r w:rsidRPr="00705D4A">
        <w:rPr>
          <w:rFonts w:ascii="Times New Roman" w:hAnsi="Times New Roman" w:cs="Times New Roman"/>
          <w:b/>
          <w:sz w:val="24"/>
          <w:szCs w:val="24"/>
          <w:lang w:val="en-US"/>
        </w:rPr>
        <w:t xml:space="preserve"> – BIOKURO - </w:t>
      </w:r>
      <w:proofErr w:type="spellStart"/>
      <w:r w:rsidRPr="00705D4A">
        <w:rPr>
          <w:rFonts w:ascii="Times New Roman" w:hAnsi="Times New Roman" w:cs="Times New Roman"/>
          <w:b/>
          <w:sz w:val="24"/>
          <w:szCs w:val="24"/>
          <w:lang w:val="en-US"/>
        </w:rPr>
        <w:t>tiekimo</w:t>
      </w:r>
      <w:proofErr w:type="spellEnd"/>
      <w:r w:rsidRPr="00705D4A">
        <w:rPr>
          <w:rFonts w:ascii="Times New Roman" w:hAnsi="Times New Roman" w:cs="Times New Roman"/>
          <w:b/>
          <w:sz w:val="24"/>
          <w:szCs w:val="24"/>
          <w:lang w:val="en-US"/>
        </w:rPr>
        <w:t xml:space="preserve"> </w:t>
      </w:r>
      <w:proofErr w:type="spellStart"/>
      <w:r w:rsidRPr="00705D4A">
        <w:rPr>
          <w:rFonts w:ascii="Times New Roman" w:hAnsi="Times New Roman" w:cs="Times New Roman"/>
          <w:b/>
          <w:sz w:val="24"/>
          <w:szCs w:val="24"/>
          <w:lang w:val="en-US"/>
        </w:rPr>
        <w:t>sistemą</w:t>
      </w:r>
      <w:proofErr w:type="spellEnd"/>
      <w:r w:rsidRPr="00705D4A">
        <w:rPr>
          <w:rFonts w:ascii="Times New Roman" w:hAnsi="Times New Roman" w:cs="Times New Roman"/>
          <w:b/>
          <w:sz w:val="24"/>
          <w:szCs w:val="24"/>
          <w:lang w:val="en-US"/>
        </w:rPr>
        <w:t>,</w:t>
      </w:r>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panaudojant</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tokius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privalumus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kaip</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valdomi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miškai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kontroliuojama</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žaliava</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masto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ekonomija</w:t>
      </w:r>
      <w:proofErr w:type="spellEnd"/>
      <w:r w:rsidRPr="00705D4A">
        <w:rPr>
          <w:rFonts w:ascii="Times New Roman" w:hAnsi="Times New Roman" w:cs="Times New Roman"/>
          <w:bCs/>
          <w:sz w:val="24"/>
          <w:szCs w:val="24"/>
          <w:lang w:val="en-US"/>
        </w:rPr>
        <w:t xml:space="preserve"> ir </w:t>
      </w:r>
      <w:proofErr w:type="spellStart"/>
      <w:r w:rsidRPr="00705D4A">
        <w:rPr>
          <w:rFonts w:ascii="Times New Roman" w:hAnsi="Times New Roman" w:cs="Times New Roman"/>
          <w:bCs/>
          <w:sz w:val="24"/>
          <w:szCs w:val="24"/>
          <w:lang w:val="en-US"/>
        </w:rPr>
        <w:t>kitos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aplinkybės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sudarančios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prielaidas</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efektyviai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veiklai</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biokuro</w:t>
      </w:r>
      <w:proofErr w:type="spellEnd"/>
      <w:r w:rsidRPr="00705D4A">
        <w:rPr>
          <w:rFonts w:ascii="Times New Roman" w:hAnsi="Times New Roman" w:cs="Times New Roman"/>
          <w:bCs/>
          <w:sz w:val="24"/>
          <w:szCs w:val="24"/>
          <w:lang w:val="en-US"/>
        </w:rPr>
        <w:t xml:space="preserve"> </w:t>
      </w:r>
      <w:proofErr w:type="spellStart"/>
      <w:r w:rsidRPr="00705D4A">
        <w:rPr>
          <w:rFonts w:ascii="Times New Roman" w:hAnsi="Times New Roman" w:cs="Times New Roman"/>
          <w:bCs/>
          <w:sz w:val="24"/>
          <w:szCs w:val="24"/>
          <w:lang w:val="en-US"/>
        </w:rPr>
        <w:t>rinkoje</w:t>
      </w:r>
      <w:proofErr w:type="spellEnd"/>
      <w:r w:rsidRPr="00705D4A">
        <w:rPr>
          <w:rFonts w:ascii="Times New Roman" w:hAnsi="Times New Roman" w:cs="Times New Roman"/>
          <w:bCs/>
          <w:sz w:val="24"/>
          <w:szCs w:val="24"/>
          <w:lang w:val="en-US"/>
        </w:rPr>
        <w:t xml:space="preserve">.  </w:t>
      </w:r>
    </w:p>
    <w:p w14:paraId="64D2091B" w14:textId="7A9B52F1" w:rsidR="00B35B94" w:rsidRDefault="00B35B94" w:rsidP="00705D4A">
      <w:pPr>
        <w:ind w:firstLine="851"/>
        <w:jc w:val="both"/>
        <w:rPr>
          <w:rFonts w:ascii="Times New Roman" w:hAnsi="Times New Roman" w:cs="Times New Roman"/>
          <w:sz w:val="24"/>
          <w:szCs w:val="24"/>
        </w:rPr>
      </w:pPr>
    </w:p>
    <w:p w14:paraId="33C9D7B8" w14:textId="61658489" w:rsidR="00705D4A" w:rsidRDefault="00705D4A" w:rsidP="00705D4A">
      <w:pPr>
        <w:ind w:firstLine="851"/>
        <w:jc w:val="both"/>
        <w:rPr>
          <w:rFonts w:ascii="Times New Roman" w:hAnsi="Times New Roman" w:cs="Times New Roman"/>
          <w:sz w:val="24"/>
          <w:szCs w:val="24"/>
        </w:rPr>
      </w:pPr>
    </w:p>
    <w:p w14:paraId="0E9A5BAE" w14:textId="52BBE8DE" w:rsidR="00705D4A" w:rsidRDefault="00705D4A" w:rsidP="00705D4A">
      <w:pPr>
        <w:ind w:firstLine="851"/>
        <w:jc w:val="both"/>
        <w:rPr>
          <w:rFonts w:ascii="Times New Roman" w:hAnsi="Times New Roman" w:cs="Times New Roman"/>
          <w:sz w:val="24"/>
          <w:szCs w:val="24"/>
        </w:rPr>
      </w:pPr>
    </w:p>
    <w:p w14:paraId="0DE17181" w14:textId="1CCC2813" w:rsidR="00705D4A" w:rsidRDefault="00705D4A" w:rsidP="00705D4A">
      <w:pPr>
        <w:ind w:firstLine="851"/>
        <w:jc w:val="both"/>
        <w:rPr>
          <w:rFonts w:ascii="Times New Roman" w:hAnsi="Times New Roman" w:cs="Times New Roman"/>
          <w:sz w:val="24"/>
          <w:szCs w:val="24"/>
        </w:rPr>
      </w:pPr>
    </w:p>
    <w:p w14:paraId="5F2A1BF2" w14:textId="77777777" w:rsidR="00705D4A" w:rsidRPr="00705D4A" w:rsidRDefault="00705D4A" w:rsidP="00705D4A">
      <w:pPr>
        <w:ind w:firstLine="851"/>
        <w:jc w:val="both"/>
        <w:rPr>
          <w:rFonts w:ascii="Times New Roman" w:hAnsi="Times New Roman" w:cs="Times New Roman"/>
          <w:sz w:val="24"/>
          <w:szCs w:val="24"/>
        </w:rPr>
      </w:pPr>
    </w:p>
    <w:p w14:paraId="09B84B60" w14:textId="79A9E0BA" w:rsidR="00033889" w:rsidRPr="00BB33D0" w:rsidRDefault="00F410A9" w:rsidP="00BB33D0">
      <w:pPr>
        <w:ind w:right="7" w:firstLine="990"/>
        <w:rPr>
          <w:rFonts w:ascii="Times New Roman" w:hAnsi="Times New Roman" w:cs="Times New Roman"/>
          <w:sz w:val="24"/>
          <w:szCs w:val="24"/>
        </w:rPr>
      </w:pPr>
      <w:r>
        <w:rPr>
          <w:rFonts w:ascii="Times New Roman" w:hAnsi="Times New Roman" w:cs="Times New Roman"/>
          <w:sz w:val="24"/>
          <w:szCs w:val="24"/>
        </w:rPr>
        <w:t>Asociacijos p</w:t>
      </w:r>
      <w:r w:rsidR="00033889" w:rsidRPr="00BB33D0">
        <w:rPr>
          <w:rFonts w:ascii="Times New Roman" w:hAnsi="Times New Roman" w:cs="Times New Roman"/>
          <w:sz w:val="24"/>
          <w:szCs w:val="24"/>
        </w:rPr>
        <w:t xml:space="preserve">rezidentas </w:t>
      </w:r>
      <w:r w:rsidR="00033889" w:rsidRPr="00BB33D0">
        <w:rPr>
          <w:rFonts w:ascii="Times New Roman" w:hAnsi="Times New Roman" w:cs="Times New Roman"/>
          <w:sz w:val="24"/>
          <w:szCs w:val="24"/>
        </w:rPr>
        <w:tab/>
      </w:r>
      <w:r w:rsidR="00033889" w:rsidRPr="00BB33D0">
        <w:rPr>
          <w:rFonts w:ascii="Times New Roman" w:hAnsi="Times New Roman" w:cs="Times New Roman"/>
          <w:sz w:val="24"/>
          <w:szCs w:val="24"/>
        </w:rPr>
        <w:tab/>
      </w:r>
      <w:r w:rsidR="00033889" w:rsidRPr="00BB33D0">
        <w:rPr>
          <w:rFonts w:ascii="Times New Roman" w:hAnsi="Times New Roman" w:cs="Times New Roman"/>
          <w:sz w:val="24"/>
          <w:szCs w:val="24"/>
        </w:rPr>
        <w:tab/>
      </w:r>
      <w:r w:rsidR="00587524" w:rsidRPr="00BB33D0">
        <w:rPr>
          <w:rFonts w:ascii="Times New Roman" w:hAnsi="Times New Roman" w:cs="Times New Roman"/>
          <w:sz w:val="24"/>
          <w:szCs w:val="24"/>
        </w:rPr>
        <w:tab/>
      </w:r>
      <w:r w:rsidR="00033889" w:rsidRPr="00BB33D0">
        <w:rPr>
          <w:rFonts w:ascii="Times New Roman" w:hAnsi="Times New Roman" w:cs="Times New Roman"/>
          <w:sz w:val="24"/>
          <w:szCs w:val="24"/>
        </w:rPr>
        <w:tab/>
        <w:t>dr. Valdas Lukoševičius</w:t>
      </w:r>
    </w:p>
    <w:p w14:paraId="2B6453AC" w14:textId="42EAA8D4" w:rsidR="00E20F12" w:rsidRPr="00BB33D0" w:rsidRDefault="00E20F12" w:rsidP="00033889">
      <w:pPr>
        <w:rPr>
          <w:rFonts w:ascii="Times New Roman" w:hAnsi="Times New Roman" w:cs="Times New Roman"/>
          <w:sz w:val="24"/>
          <w:szCs w:val="24"/>
        </w:rPr>
      </w:pPr>
    </w:p>
    <w:p w14:paraId="3F5BA176" w14:textId="394DFA8B" w:rsidR="00E20F12" w:rsidRPr="00BB33D0" w:rsidRDefault="00E20F12" w:rsidP="00033889">
      <w:pPr>
        <w:rPr>
          <w:rFonts w:ascii="Times New Roman" w:hAnsi="Times New Roman" w:cs="Times New Roman"/>
          <w:sz w:val="24"/>
          <w:szCs w:val="24"/>
        </w:rPr>
      </w:pPr>
    </w:p>
    <w:p w14:paraId="2FFD59C2" w14:textId="25693208" w:rsidR="00BB33D0" w:rsidRDefault="00BB33D0" w:rsidP="00033889">
      <w:pPr>
        <w:rPr>
          <w:rFonts w:ascii="Times New Roman" w:hAnsi="Times New Roman" w:cs="Times New Roman"/>
          <w:sz w:val="24"/>
          <w:szCs w:val="24"/>
        </w:rPr>
      </w:pPr>
    </w:p>
    <w:p w14:paraId="4FB12C7B" w14:textId="744ADAEF" w:rsidR="00BB33D0" w:rsidRDefault="00BB33D0" w:rsidP="00033889">
      <w:pPr>
        <w:rPr>
          <w:rFonts w:ascii="Times New Roman" w:hAnsi="Times New Roman" w:cs="Times New Roman"/>
          <w:sz w:val="24"/>
          <w:szCs w:val="24"/>
        </w:rPr>
      </w:pPr>
    </w:p>
    <w:p w14:paraId="3A10F0FE" w14:textId="36FA0E20" w:rsidR="00705D4A" w:rsidRDefault="00705D4A" w:rsidP="00033889">
      <w:pPr>
        <w:rPr>
          <w:rFonts w:ascii="Times New Roman" w:hAnsi="Times New Roman" w:cs="Times New Roman"/>
          <w:sz w:val="24"/>
          <w:szCs w:val="24"/>
        </w:rPr>
      </w:pPr>
    </w:p>
    <w:p w14:paraId="31FCB0E6" w14:textId="461B4823" w:rsidR="00705D4A" w:rsidRDefault="00705D4A" w:rsidP="00033889">
      <w:pPr>
        <w:rPr>
          <w:rFonts w:ascii="Times New Roman" w:hAnsi="Times New Roman" w:cs="Times New Roman"/>
          <w:sz w:val="24"/>
          <w:szCs w:val="24"/>
        </w:rPr>
      </w:pPr>
    </w:p>
    <w:p w14:paraId="465D80C5" w14:textId="0C21E6C0" w:rsidR="00705D4A" w:rsidRDefault="00705D4A" w:rsidP="00033889">
      <w:pPr>
        <w:rPr>
          <w:rFonts w:ascii="Times New Roman" w:hAnsi="Times New Roman" w:cs="Times New Roman"/>
          <w:sz w:val="24"/>
          <w:szCs w:val="24"/>
        </w:rPr>
      </w:pPr>
    </w:p>
    <w:p w14:paraId="0B9E1DC8" w14:textId="4BE946D1" w:rsidR="00705D4A" w:rsidRDefault="00705D4A" w:rsidP="00033889">
      <w:pPr>
        <w:rPr>
          <w:rFonts w:ascii="Times New Roman" w:hAnsi="Times New Roman" w:cs="Times New Roman"/>
          <w:sz w:val="24"/>
          <w:szCs w:val="24"/>
        </w:rPr>
      </w:pPr>
    </w:p>
    <w:p w14:paraId="4F4E8C80" w14:textId="1370FCC5" w:rsidR="00705D4A" w:rsidRDefault="00705D4A" w:rsidP="00033889">
      <w:pPr>
        <w:rPr>
          <w:rFonts w:ascii="Times New Roman" w:hAnsi="Times New Roman" w:cs="Times New Roman"/>
          <w:sz w:val="24"/>
          <w:szCs w:val="24"/>
        </w:rPr>
      </w:pPr>
    </w:p>
    <w:p w14:paraId="709DC51D" w14:textId="77777777" w:rsidR="00705D4A" w:rsidRDefault="00705D4A" w:rsidP="00033889">
      <w:pPr>
        <w:rPr>
          <w:rFonts w:ascii="Times New Roman" w:hAnsi="Times New Roman" w:cs="Times New Roman"/>
          <w:sz w:val="24"/>
          <w:szCs w:val="24"/>
        </w:rPr>
      </w:pPr>
    </w:p>
    <w:p w14:paraId="0A7176EF" w14:textId="77777777" w:rsidR="009A19FA" w:rsidRPr="00BB33D0" w:rsidRDefault="009A19FA" w:rsidP="00033889">
      <w:pPr>
        <w:rPr>
          <w:rFonts w:ascii="Times New Roman" w:hAnsi="Times New Roman" w:cs="Times New Roman"/>
          <w:sz w:val="24"/>
          <w:szCs w:val="24"/>
        </w:rPr>
      </w:pPr>
    </w:p>
    <w:p w14:paraId="7E304A8F" w14:textId="77777777" w:rsidR="00033889" w:rsidRPr="00BB33D0" w:rsidRDefault="00033889" w:rsidP="00033889">
      <w:pPr>
        <w:rPr>
          <w:rFonts w:ascii="Times New Roman" w:hAnsi="Times New Roman" w:cs="Times New Roman"/>
          <w:sz w:val="24"/>
          <w:szCs w:val="24"/>
        </w:rPr>
      </w:pPr>
    </w:p>
    <w:p w14:paraId="30611BAB" w14:textId="6ABCB217" w:rsidR="00033889" w:rsidRPr="00BB33D0" w:rsidRDefault="00A57839" w:rsidP="00E85E32">
      <w:pPr>
        <w:jc w:val="both"/>
        <w:rPr>
          <w:rFonts w:ascii="Times New Roman" w:hAnsi="Times New Roman" w:cs="Times New Roman"/>
          <w:sz w:val="24"/>
          <w:szCs w:val="24"/>
          <w:lang w:val="en-US"/>
        </w:rPr>
      </w:pPr>
      <w:r>
        <w:rPr>
          <w:rFonts w:ascii="Times New Roman" w:hAnsi="Times New Roman" w:cs="Times New Roman"/>
          <w:sz w:val="24"/>
          <w:szCs w:val="24"/>
        </w:rPr>
        <w:t>R. Gurklienė</w:t>
      </w:r>
      <w:r w:rsidR="00033889" w:rsidRPr="00BB33D0">
        <w:rPr>
          <w:rFonts w:ascii="Times New Roman" w:hAnsi="Times New Roman" w:cs="Times New Roman"/>
          <w:sz w:val="24"/>
          <w:szCs w:val="24"/>
        </w:rPr>
        <w:t>, tel. (85) 266 709</w:t>
      </w:r>
      <w:r w:rsidR="009D1A13" w:rsidRPr="00BB33D0">
        <w:rPr>
          <w:rFonts w:ascii="Times New Roman" w:hAnsi="Times New Roman" w:cs="Times New Roman"/>
          <w:sz w:val="24"/>
          <w:szCs w:val="24"/>
        </w:rPr>
        <w:t>4</w:t>
      </w:r>
      <w:r w:rsidR="00033889" w:rsidRPr="00BB33D0">
        <w:rPr>
          <w:rFonts w:ascii="Times New Roman" w:hAnsi="Times New Roman" w:cs="Times New Roman"/>
          <w:sz w:val="24"/>
          <w:szCs w:val="24"/>
        </w:rPr>
        <w:t>, el. p.</w:t>
      </w:r>
      <w:r w:rsidR="00AB512C" w:rsidRPr="00BB33D0">
        <w:rPr>
          <w:rFonts w:ascii="Times New Roman" w:hAnsi="Times New Roman" w:cs="Times New Roman"/>
          <w:sz w:val="24"/>
          <w:szCs w:val="24"/>
        </w:rPr>
        <w:t>:</w:t>
      </w:r>
      <w:r w:rsidR="00033889" w:rsidRPr="00BB33D0">
        <w:rPr>
          <w:rFonts w:ascii="Times New Roman" w:hAnsi="Times New Roman" w:cs="Times New Roman"/>
          <w:sz w:val="24"/>
          <w:szCs w:val="24"/>
        </w:rPr>
        <w:t xml:space="preserve"> </w:t>
      </w:r>
      <w:hyperlink r:id="rId9" w:history="1">
        <w:r w:rsidR="00EF24CE" w:rsidRPr="00BD2257">
          <w:rPr>
            <w:rStyle w:val="Hyperlink"/>
            <w:rFonts w:ascii="Times New Roman" w:hAnsi="Times New Roman" w:cs="Times New Roman"/>
            <w:sz w:val="24"/>
            <w:szCs w:val="24"/>
          </w:rPr>
          <w:t>ramune</w:t>
        </w:r>
        <w:r w:rsidR="00EF24CE" w:rsidRPr="00BD2257">
          <w:rPr>
            <w:rStyle w:val="Hyperlink"/>
            <w:rFonts w:ascii="Times New Roman" w:hAnsi="Times New Roman" w:cs="Times New Roman"/>
            <w:sz w:val="24"/>
            <w:szCs w:val="24"/>
            <w:lang w:val="en-US"/>
          </w:rPr>
          <w:t>@lsta.lt</w:t>
        </w:r>
      </w:hyperlink>
      <w:r w:rsidR="00EF24CE">
        <w:rPr>
          <w:rFonts w:ascii="Times New Roman" w:hAnsi="Times New Roman" w:cs="Times New Roman"/>
          <w:sz w:val="24"/>
          <w:szCs w:val="24"/>
          <w:lang w:val="en-US"/>
        </w:rPr>
        <w:t xml:space="preserve"> </w:t>
      </w:r>
    </w:p>
    <w:sectPr w:rsidR="00033889" w:rsidRPr="00BB33D0" w:rsidSect="00E20F12">
      <w:headerReference w:type="default" r:id="rId10"/>
      <w:pgSz w:w="11906" w:h="16838"/>
      <w:pgMar w:top="851" w:right="851"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E41B" w14:textId="77777777" w:rsidR="00B943B7" w:rsidRDefault="00B943B7" w:rsidP="00D94E62">
      <w:r>
        <w:separator/>
      </w:r>
    </w:p>
  </w:endnote>
  <w:endnote w:type="continuationSeparator" w:id="0">
    <w:p w14:paraId="40699D4B" w14:textId="77777777" w:rsidR="00B943B7" w:rsidRDefault="00B943B7" w:rsidP="00D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EF7B" w14:textId="77777777" w:rsidR="00B943B7" w:rsidRDefault="00B943B7" w:rsidP="00D94E62">
      <w:r>
        <w:separator/>
      </w:r>
    </w:p>
  </w:footnote>
  <w:footnote w:type="continuationSeparator" w:id="0">
    <w:p w14:paraId="31B32F7E" w14:textId="77777777" w:rsidR="00B943B7" w:rsidRDefault="00B943B7" w:rsidP="00D9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83151"/>
      <w:docPartObj>
        <w:docPartGallery w:val="Page Numbers (Top of Page)"/>
        <w:docPartUnique/>
      </w:docPartObj>
    </w:sdtPr>
    <w:sdtEndPr>
      <w:rPr>
        <w:noProof/>
      </w:rPr>
    </w:sdtEndPr>
    <w:sdtContent>
      <w:p w14:paraId="4632E2C0" w14:textId="73422C2E" w:rsidR="00E20F12" w:rsidRDefault="00E20F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FD90CB" w14:textId="77777777" w:rsidR="00E20F12" w:rsidRDefault="00E2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27D"/>
    <w:multiLevelType w:val="hybridMultilevel"/>
    <w:tmpl w:val="23803BF8"/>
    <w:lvl w:ilvl="0" w:tplc="03760D7E">
      <w:start w:val="1"/>
      <w:numFmt w:val="bullet"/>
      <w:lvlText w:val="•"/>
      <w:lvlJc w:val="left"/>
      <w:pPr>
        <w:tabs>
          <w:tab w:val="num" w:pos="720"/>
        </w:tabs>
        <w:ind w:left="720" w:hanging="360"/>
      </w:pPr>
      <w:rPr>
        <w:rFonts w:ascii="Arial" w:hAnsi="Arial" w:hint="default"/>
      </w:rPr>
    </w:lvl>
    <w:lvl w:ilvl="1" w:tplc="D5780400" w:tentative="1">
      <w:start w:val="1"/>
      <w:numFmt w:val="bullet"/>
      <w:lvlText w:val="•"/>
      <w:lvlJc w:val="left"/>
      <w:pPr>
        <w:tabs>
          <w:tab w:val="num" w:pos="1440"/>
        </w:tabs>
        <w:ind w:left="1440" w:hanging="360"/>
      </w:pPr>
      <w:rPr>
        <w:rFonts w:ascii="Arial" w:hAnsi="Arial" w:hint="default"/>
      </w:rPr>
    </w:lvl>
    <w:lvl w:ilvl="2" w:tplc="E50EF866" w:tentative="1">
      <w:start w:val="1"/>
      <w:numFmt w:val="bullet"/>
      <w:lvlText w:val="•"/>
      <w:lvlJc w:val="left"/>
      <w:pPr>
        <w:tabs>
          <w:tab w:val="num" w:pos="2160"/>
        </w:tabs>
        <w:ind w:left="2160" w:hanging="360"/>
      </w:pPr>
      <w:rPr>
        <w:rFonts w:ascii="Arial" w:hAnsi="Arial" w:hint="default"/>
      </w:rPr>
    </w:lvl>
    <w:lvl w:ilvl="3" w:tplc="04520F48" w:tentative="1">
      <w:start w:val="1"/>
      <w:numFmt w:val="bullet"/>
      <w:lvlText w:val="•"/>
      <w:lvlJc w:val="left"/>
      <w:pPr>
        <w:tabs>
          <w:tab w:val="num" w:pos="2880"/>
        </w:tabs>
        <w:ind w:left="2880" w:hanging="360"/>
      </w:pPr>
      <w:rPr>
        <w:rFonts w:ascii="Arial" w:hAnsi="Arial" w:hint="default"/>
      </w:rPr>
    </w:lvl>
    <w:lvl w:ilvl="4" w:tplc="B966230A" w:tentative="1">
      <w:start w:val="1"/>
      <w:numFmt w:val="bullet"/>
      <w:lvlText w:val="•"/>
      <w:lvlJc w:val="left"/>
      <w:pPr>
        <w:tabs>
          <w:tab w:val="num" w:pos="3600"/>
        </w:tabs>
        <w:ind w:left="3600" w:hanging="360"/>
      </w:pPr>
      <w:rPr>
        <w:rFonts w:ascii="Arial" w:hAnsi="Arial" w:hint="default"/>
      </w:rPr>
    </w:lvl>
    <w:lvl w:ilvl="5" w:tplc="9A8ED31C" w:tentative="1">
      <w:start w:val="1"/>
      <w:numFmt w:val="bullet"/>
      <w:lvlText w:val="•"/>
      <w:lvlJc w:val="left"/>
      <w:pPr>
        <w:tabs>
          <w:tab w:val="num" w:pos="4320"/>
        </w:tabs>
        <w:ind w:left="4320" w:hanging="360"/>
      </w:pPr>
      <w:rPr>
        <w:rFonts w:ascii="Arial" w:hAnsi="Arial" w:hint="default"/>
      </w:rPr>
    </w:lvl>
    <w:lvl w:ilvl="6" w:tplc="688C42DA" w:tentative="1">
      <w:start w:val="1"/>
      <w:numFmt w:val="bullet"/>
      <w:lvlText w:val="•"/>
      <w:lvlJc w:val="left"/>
      <w:pPr>
        <w:tabs>
          <w:tab w:val="num" w:pos="5040"/>
        </w:tabs>
        <w:ind w:left="5040" w:hanging="360"/>
      </w:pPr>
      <w:rPr>
        <w:rFonts w:ascii="Arial" w:hAnsi="Arial" w:hint="default"/>
      </w:rPr>
    </w:lvl>
    <w:lvl w:ilvl="7" w:tplc="01D22AA8" w:tentative="1">
      <w:start w:val="1"/>
      <w:numFmt w:val="bullet"/>
      <w:lvlText w:val="•"/>
      <w:lvlJc w:val="left"/>
      <w:pPr>
        <w:tabs>
          <w:tab w:val="num" w:pos="5760"/>
        </w:tabs>
        <w:ind w:left="5760" w:hanging="360"/>
      </w:pPr>
      <w:rPr>
        <w:rFonts w:ascii="Arial" w:hAnsi="Arial" w:hint="default"/>
      </w:rPr>
    </w:lvl>
    <w:lvl w:ilvl="8" w:tplc="BA5871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C0837"/>
    <w:multiLevelType w:val="hybridMultilevel"/>
    <w:tmpl w:val="8C528752"/>
    <w:lvl w:ilvl="0" w:tplc="F698A892">
      <w:start w:val="1"/>
      <w:numFmt w:val="bullet"/>
      <w:lvlText w:val="•"/>
      <w:lvlJc w:val="left"/>
      <w:pPr>
        <w:tabs>
          <w:tab w:val="num" w:pos="720"/>
        </w:tabs>
        <w:ind w:left="720" w:hanging="360"/>
      </w:pPr>
      <w:rPr>
        <w:rFonts w:ascii="Arial" w:hAnsi="Arial" w:hint="default"/>
      </w:rPr>
    </w:lvl>
    <w:lvl w:ilvl="1" w:tplc="6FF8DBB0" w:tentative="1">
      <w:start w:val="1"/>
      <w:numFmt w:val="bullet"/>
      <w:lvlText w:val="•"/>
      <w:lvlJc w:val="left"/>
      <w:pPr>
        <w:tabs>
          <w:tab w:val="num" w:pos="1440"/>
        </w:tabs>
        <w:ind w:left="1440" w:hanging="360"/>
      </w:pPr>
      <w:rPr>
        <w:rFonts w:ascii="Arial" w:hAnsi="Arial" w:hint="default"/>
      </w:rPr>
    </w:lvl>
    <w:lvl w:ilvl="2" w:tplc="75EC680A" w:tentative="1">
      <w:start w:val="1"/>
      <w:numFmt w:val="bullet"/>
      <w:lvlText w:val="•"/>
      <w:lvlJc w:val="left"/>
      <w:pPr>
        <w:tabs>
          <w:tab w:val="num" w:pos="2160"/>
        </w:tabs>
        <w:ind w:left="2160" w:hanging="360"/>
      </w:pPr>
      <w:rPr>
        <w:rFonts w:ascii="Arial" w:hAnsi="Arial" w:hint="default"/>
      </w:rPr>
    </w:lvl>
    <w:lvl w:ilvl="3" w:tplc="B82E4EB6" w:tentative="1">
      <w:start w:val="1"/>
      <w:numFmt w:val="bullet"/>
      <w:lvlText w:val="•"/>
      <w:lvlJc w:val="left"/>
      <w:pPr>
        <w:tabs>
          <w:tab w:val="num" w:pos="2880"/>
        </w:tabs>
        <w:ind w:left="2880" w:hanging="360"/>
      </w:pPr>
      <w:rPr>
        <w:rFonts w:ascii="Arial" w:hAnsi="Arial" w:hint="default"/>
      </w:rPr>
    </w:lvl>
    <w:lvl w:ilvl="4" w:tplc="0BB80FC8" w:tentative="1">
      <w:start w:val="1"/>
      <w:numFmt w:val="bullet"/>
      <w:lvlText w:val="•"/>
      <w:lvlJc w:val="left"/>
      <w:pPr>
        <w:tabs>
          <w:tab w:val="num" w:pos="3600"/>
        </w:tabs>
        <w:ind w:left="3600" w:hanging="360"/>
      </w:pPr>
      <w:rPr>
        <w:rFonts w:ascii="Arial" w:hAnsi="Arial" w:hint="default"/>
      </w:rPr>
    </w:lvl>
    <w:lvl w:ilvl="5" w:tplc="DED88458" w:tentative="1">
      <w:start w:val="1"/>
      <w:numFmt w:val="bullet"/>
      <w:lvlText w:val="•"/>
      <w:lvlJc w:val="left"/>
      <w:pPr>
        <w:tabs>
          <w:tab w:val="num" w:pos="4320"/>
        </w:tabs>
        <w:ind w:left="4320" w:hanging="360"/>
      </w:pPr>
      <w:rPr>
        <w:rFonts w:ascii="Arial" w:hAnsi="Arial" w:hint="default"/>
      </w:rPr>
    </w:lvl>
    <w:lvl w:ilvl="6" w:tplc="BB90FA52" w:tentative="1">
      <w:start w:val="1"/>
      <w:numFmt w:val="bullet"/>
      <w:lvlText w:val="•"/>
      <w:lvlJc w:val="left"/>
      <w:pPr>
        <w:tabs>
          <w:tab w:val="num" w:pos="5040"/>
        </w:tabs>
        <w:ind w:left="5040" w:hanging="360"/>
      </w:pPr>
      <w:rPr>
        <w:rFonts w:ascii="Arial" w:hAnsi="Arial" w:hint="default"/>
      </w:rPr>
    </w:lvl>
    <w:lvl w:ilvl="7" w:tplc="E806EDB4" w:tentative="1">
      <w:start w:val="1"/>
      <w:numFmt w:val="bullet"/>
      <w:lvlText w:val="•"/>
      <w:lvlJc w:val="left"/>
      <w:pPr>
        <w:tabs>
          <w:tab w:val="num" w:pos="5760"/>
        </w:tabs>
        <w:ind w:left="5760" w:hanging="360"/>
      </w:pPr>
      <w:rPr>
        <w:rFonts w:ascii="Arial" w:hAnsi="Arial" w:hint="default"/>
      </w:rPr>
    </w:lvl>
    <w:lvl w:ilvl="8" w:tplc="ADBC7A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9E4C5B"/>
    <w:multiLevelType w:val="hybridMultilevel"/>
    <w:tmpl w:val="79F67152"/>
    <w:lvl w:ilvl="0" w:tplc="254A0558">
      <w:start w:val="1"/>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9B22644"/>
    <w:multiLevelType w:val="hybridMultilevel"/>
    <w:tmpl w:val="F1EA2F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5C67ECE"/>
    <w:multiLevelType w:val="hybridMultilevel"/>
    <w:tmpl w:val="63BEC454"/>
    <w:lvl w:ilvl="0" w:tplc="8D34A3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001A3"/>
    <w:rsid w:val="0001597C"/>
    <w:rsid w:val="000236F5"/>
    <w:rsid w:val="0002491E"/>
    <w:rsid w:val="00033889"/>
    <w:rsid w:val="0005510C"/>
    <w:rsid w:val="00061A02"/>
    <w:rsid w:val="00066CB4"/>
    <w:rsid w:val="000734E5"/>
    <w:rsid w:val="001009AE"/>
    <w:rsid w:val="001528B1"/>
    <w:rsid w:val="001C4679"/>
    <w:rsid w:val="001E2A47"/>
    <w:rsid w:val="00203CD1"/>
    <w:rsid w:val="002244ED"/>
    <w:rsid w:val="00232652"/>
    <w:rsid w:val="00260E6D"/>
    <w:rsid w:val="00297BB7"/>
    <w:rsid w:val="002B1C04"/>
    <w:rsid w:val="002C7EAD"/>
    <w:rsid w:val="002F2FDA"/>
    <w:rsid w:val="003428DA"/>
    <w:rsid w:val="003479F6"/>
    <w:rsid w:val="003670EE"/>
    <w:rsid w:val="003A016A"/>
    <w:rsid w:val="003B2F80"/>
    <w:rsid w:val="003B7217"/>
    <w:rsid w:val="00400C00"/>
    <w:rsid w:val="00405575"/>
    <w:rsid w:val="00427912"/>
    <w:rsid w:val="00432A23"/>
    <w:rsid w:val="004573D8"/>
    <w:rsid w:val="00477229"/>
    <w:rsid w:val="00486D0F"/>
    <w:rsid w:val="00494B48"/>
    <w:rsid w:val="004C4D63"/>
    <w:rsid w:val="004D5F63"/>
    <w:rsid w:val="00574E9C"/>
    <w:rsid w:val="005764F7"/>
    <w:rsid w:val="0057673E"/>
    <w:rsid w:val="00587524"/>
    <w:rsid w:val="005A234D"/>
    <w:rsid w:val="005C03EC"/>
    <w:rsid w:val="005E7490"/>
    <w:rsid w:val="00604E8B"/>
    <w:rsid w:val="00694332"/>
    <w:rsid w:val="006D7BB1"/>
    <w:rsid w:val="006E2F50"/>
    <w:rsid w:val="006E4DC9"/>
    <w:rsid w:val="006F471A"/>
    <w:rsid w:val="007034E8"/>
    <w:rsid w:val="00705D4A"/>
    <w:rsid w:val="00732168"/>
    <w:rsid w:val="00773E0F"/>
    <w:rsid w:val="007E78DB"/>
    <w:rsid w:val="00881151"/>
    <w:rsid w:val="008A2DF2"/>
    <w:rsid w:val="00900BE3"/>
    <w:rsid w:val="0092382C"/>
    <w:rsid w:val="009250D3"/>
    <w:rsid w:val="009A19FA"/>
    <w:rsid w:val="009B1ADB"/>
    <w:rsid w:val="009B67B5"/>
    <w:rsid w:val="009C0C0D"/>
    <w:rsid w:val="009D1A13"/>
    <w:rsid w:val="009E4C43"/>
    <w:rsid w:val="009F408F"/>
    <w:rsid w:val="00A5378F"/>
    <w:rsid w:val="00A575B5"/>
    <w:rsid w:val="00A57839"/>
    <w:rsid w:val="00A61983"/>
    <w:rsid w:val="00AA2886"/>
    <w:rsid w:val="00AA4291"/>
    <w:rsid w:val="00AB512C"/>
    <w:rsid w:val="00AF4A4D"/>
    <w:rsid w:val="00B35B94"/>
    <w:rsid w:val="00B50E6A"/>
    <w:rsid w:val="00B943B7"/>
    <w:rsid w:val="00BB33D0"/>
    <w:rsid w:val="00BC33C2"/>
    <w:rsid w:val="00C36BC7"/>
    <w:rsid w:val="00C44294"/>
    <w:rsid w:val="00C53CCA"/>
    <w:rsid w:val="00C74048"/>
    <w:rsid w:val="00C97E65"/>
    <w:rsid w:val="00CA43DF"/>
    <w:rsid w:val="00D0044A"/>
    <w:rsid w:val="00D02C9C"/>
    <w:rsid w:val="00D0712D"/>
    <w:rsid w:val="00D2381F"/>
    <w:rsid w:val="00D46DFD"/>
    <w:rsid w:val="00D53253"/>
    <w:rsid w:val="00D5589E"/>
    <w:rsid w:val="00D66CDF"/>
    <w:rsid w:val="00D718B2"/>
    <w:rsid w:val="00D94E62"/>
    <w:rsid w:val="00DC1724"/>
    <w:rsid w:val="00DE7B91"/>
    <w:rsid w:val="00E12206"/>
    <w:rsid w:val="00E20F12"/>
    <w:rsid w:val="00E75E9E"/>
    <w:rsid w:val="00E75F3D"/>
    <w:rsid w:val="00E85E32"/>
    <w:rsid w:val="00EA03CE"/>
    <w:rsid w:val="00EB218B"/>
    <w:rsid w:val="00ED7052"/>
    <w:rsid w:val="00EF24CE"/>
    <w:rsid w:val="00F2044B"/>
    <w:rsid w:val="00F235DD"/>
    <w:rsid w:val="00F410A9"/>
    <w:rsid w:val="00F45909"/>
    <w:rsid w:val="00F50E73"/>
    <w:rsid w:val="00F524CF"/>
    <w:rsid w:val="00F72F4C"/>
    <w:rsid w:val="00F80917"/>
    <w:rsid w:val="00FB00FB"/>
    <w:rsid w:val="00FE0E7B"/>
    <w:rsid w:val="00FF0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rPr>
      <w:rFonts w:asciiTheme="minorHAnsi" w:hAnsiTheme="minorHAnsi"/>
      <w:sz w:val="22"/>
    </w:rPr>
  </w:style>
  <w:style w:type="paragraph" w:styleId="Heading1">
    <w:name w:val="heading 1"/>
    <w:basedOn w:val="Normal"/>
    <w:next w:val="Normal"/>
    <w:link w:val="Heading1Char"/>
    <w:qFormat/>
    <w:rsid w:val="00A5378F"/>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9D1A13"/>
    <w:rPr>
      <w:color w:val="605E5C"/>
      <w:shd w:val="clear" w:color="auto" w:fill="E1DFDD"/>
    </w:rPr>
  </w:style>
  <w:style w:type="paragraph" w:styleId="NoSpacing">
    <w:name w:val="No Spacing"/>
    <w:uiPriority w:val="1"/>
    <w:qFormat/>
    <w:rsid w:val="00D02C9C"/>
    <w:rPr>
      <w:rFonts w:asciiTheme="minorHAnsi" w:hAnsiTheme="minorHAnsi"/>
      <w:sz w:val="22"/>
    </w:rPr>
  </w:style>
  <w:style w:type="paragraph" w:styleId="FootnoteText">
    <w:name w:val="footnote text"/>
    <w:basedOn w:val="Normal"/>
    <w:link w:val="FootnoteTextChar"/>
    <w:uiPriority w:val="99"/>
    <w:semiHidden/>
    <w:unhideWhenUsed/>
    <w:rsid w:val="00D94E62"/>
    <w:rPr>
      <w:rFonts w:ascii="Calibri" w:hAnsi="Calibri" w:cs="Calibri"/>
      <w:sz w:val="20"/>
      <w:szCs w:val="20"/>
      <w:lang w:eastAsia="lt-LT"/>
    </w:rPr>
  </w:style>
  <w:style w:type="character" w:customStyle="1" w:styleId="FootnoteTextChar">
    <w:name w:val="Footnote Text Char"/>
    <w:basedOn w:val="DefaultParagraphFont"/>
    <w:link w:val="FootnoteText"/>
    <w:uiPriority w:val="99"/>
    <w:semiHidden/>
    <w:rsid w:val="00D94E62"/>
    <w:rPr>
      <w:rFonts w:ascii="Calibri" w:hAnsi="Calibri" w:cs="Calibri"/>
      <w:sz w:val="20"/>
      <w:szCs w:val="20"/>
      <w:lang w:eastAsia="lt-LT"/>
    </w:rPr>
  </w:style>
  <w:style w:type="character" w:styleId="FootnoteReference">
    <w:name w:val="footnote reference"/>
    <w:basedOn w:val="DefaultParagraphFont"/>
    <w:uiPriority w:val="99"/>
    <w:semiHidden/>
    <w:unhideWhenUsed/>
    <w:rsid w:val="00D94E62"/>
    <w:rPr>
      <w:vertAlign w:val="superscript"/>
    </w:rPr>
  </w:style>
  <w:style w:type="paragraph" w:styleId="Header">
    <w:name w:val="header"/>
    <w:basedOn w:val="Normal"/>
    <w:link w:val="HeaderChar"/>
    <w:uiPriority w:val="99"/>
    <w:unhideWhenUsed/>
    <w:rsid w:val="00E20F12"/>
    <w:pPr>
      <w:tabs>
        <w:tab w:val="center" w:pos="4680"/>
        <w:tab w:val="right" w:pos="9360"/>
      </w:tabs>
    </w:pPr>
  </w:style>
  <w:style w:type="character" w:customStyle="1" w:styleId="HeaderChar">
    <w:name w:val="Header Char"/>
    <w:basedOn w:val="DefaultParagraphFont"/>
    <w:link w:val="Header"/>
    <w:uiPriority w:val="99"/>
    <w:rsid w:val="00E20F12"/>
    <w:rPr>
      <w:rFonts w:asciiTheme="minorHAnsi" w:hAnsiTheme="minorHAnsi"/>
      <w:sz w:val="22"/>
    </w:rPr>
  </w:style>
  <w:style w:type="paragraph" w:styleId="BodyText">
    <w:name w:val="Body Text"/>
    <w:basedOn w:val="Normal"/>
    <w:link w:val="BodyTextChar"/>
    <w:uiPriority w:val="99"/>
    <w:unhideWhenUsed/>
    <w:rsid w:val="00C36BC7"/>
    <w:pPr>
      <w:ind w:firstLine="567"/>
      <w:jc w:val="both"/>
    </w:pPr>
    <w:rPr>
      <w:rFonts w:ascii="Times New Roman" w:hAnsi="Times New Roman" w:cs="Times New Roman"/>
      <w:sz w:val="24"/>
      <w:szCs w:val="24"/>
      <w:lang w:eastAsia="lt-LT"/>
    </w:rPr>
  </w:style>
  <w:style w:type="character" w:customStyle="1" w:styleId="BodyTextChar">
    <w:name w:val="Body Text Char"/>
    <w:basedOn w:val="DefaultParagraphFont"/>
    <w:link w:val="BodyText"/>
    <w:uiPriority w:val="99"/>
    <w:rsid w:val="00C36BC7"/>
    <w:rPr>
      <w:rFonts w:cs="Times New Roman"/>
      <w:szCs w:val="24"/>
      <w:lang w:eastAsia="lt-LT"/>
    </w:rPr>
  </w:style>
  <w:style w:type="paragraph" w:styleId="CommentText">
    <w:name w:val="annotation text"/>
    <w:basedOn w:val="Normal"/>
    <w:link w:val="CommentTextChar"/>
    <w:uiPriority w:val="99"/>
    <w:semiHidden/>
    <w:unhideWhenUsed/>
    <w:rsid w:val="00ED7052"/>
    <w:rPr>
      <w:sz w:val="20"/>
      <w:szCs w:val="20"/>
    </w:rPr>
  </w:style>
  <w:style w:type="character" w:customStyle="1" w:styleId="CommentTextChar">
    <w:name w:val="Comment Text Char"/>
    <w:basedOn w:val="DefaultParagraphFont"/>
    <w:link w:val="CommentText"/>
    <w:uiPriority w:val="99"/>
    <w:semiHidden/>
    <w:rsid w:val="00ED705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D7052"/>
    <w:rPr>
      <w:rFonts w:ascii="Times New Roman" w:eastAsia="Times New Roman" w:hAnsi="Times New Roman" w:cs="Times New Roman"/>
      <w:b/>
      <w:bCs/>
      <w:lang w:eastAsia="lt-LT"/>
    </w:rPr>
  </w:style>
  <w:style w:type="character" w:customStyle="1" w:styleId="CommentSubjectChar">
    <w:name w:val="Comment Subject Char"/>
    <w:basedOn w:val="CommentTextChar"/>
    <w:link w:val="CommentSubject"/>
    <w:uiPriority w:val="99"/>
    <w:semiHidden/>
    <w:rsid w:val="00ED7052"/>
    <w:rPr>
      <w:rFonts w:asciiTheme="minorHAnsi" w:eastAsia="Times New Roman" w:hAnsiTheme="minorHAnsi"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8382">
          <w:marLeft w:val="0"/>
          <w:marRight w:val="0"/>
          <w:marTop w:val="0"/>
          <w:marBottom w:val="0"/>
          <w:divBdr>
            <w:top w:val="none" w:sz="0" w:space="0" w:color="auto"/>
            <w:left w:val="none" w:sz="0" w:space="0" w:color="auto"/>
            <w:bottom w:val="none" w:sz="0" w:space="0" w:color="auto"/>
            <w:right w:val="none" w:sz="0" w:space="0" w:color="auto"/>
          </w:divBdr>
          <w:divsChild>
            <w:div w:id="365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328">
      <w:bodyDiv w:val="1"/>
      <w:marLeft w:val="0"/>
      <w:marRight w:val="0"/>
      <w:marTop w:val="0"/>
      <w:marBottom w:val="0"/>
      <w:divBdr>
        <w:top w:val="none" w:sz="0" w:space="0" w:color="auto"/>
        <w:left w:val="none" w:sz="0" w:space="0" w:color="auto"/>
        <w:bottom w:val="none" w:sz="0" w:space="0" w:color="auto"/>
        <w:right w:val="none" w:sz="0" w:space="0" w:color="auto"/>
      </w:divBdr>
    </w:div>
    <w:div w:id="9179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une@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3906</Words>
  <Characters>2227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cp:lastPrinted>2021-08-16T14:47:00Z</cp:lastPrinted>
  <dcterms:created xsi:type="dcterms:W3CDTF">2021-08-17T09:11:00Z</dcterms:created>
  <dcterms:modified xsi:type="dcterms:W3CDTF">2021-08-17T09:11:00Z</dcterms:modified>
</cp:coreProperties>
</file>