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CFD6E" w14:textId="77777777" w:rsidR="00EF7015" w:rsidRPr="00AD7849" w:rsidRDefault="00EF7015" w:rsidP="00EF7015">
      <w:pPr>
        <w:spacing w:line="276" w:lineRule="auto"/>
        <w:jc w:val="center"/>
      </w:pPr>
      <w:r w:rsidRPr="00AD7849">
        <w:rPr>
          <w:rFonts w:ascii="Times New Roman" w:eastAsia="Times New Roman" w:hAnsi="Times New Roman" w:cs="Times New Roman"/>
          <w:b/>
          <w:bCs/>
          <w:color w:val="000000" w:themeColor="text1"/>
          <w:sz w:val="24"/>
          <w:szCs w:val="24"/>
        </w:rPr>
        <w:t>EMIGRANTŲ SKOLŲ IŠIEŠKOJIMO PERSPEKTYVOS EUROPOS SĄJUNGOJE AR TREČIOSIOSE VALSTYBĖSE, GALIMYBIŲ PAŽYMA</w:t>
      </w:r>
    </w:p>
    <w:p w14:paraId="3013343D" w14:textId="77777777" w:rsidR="00EF7015" w:rsidRPr="00AD7849" w:rsidRDefault="00EF7015" w:rsidP="00EF7015">
      <w:pPr>
        <w:spacing w:line="276" w:lineRule="auto"/>
        <w:jc w:val="center"/>
      </w:pPr>
      <w:r w:rsidRPr="00AD7849">
        <w:rPr>
          <w:rFonts w:ascii="Times New Roman" w:eastAsia="Times New Roman" w:hAnsi="Times New Roman" w:cs="Times New Roman"/>
          <w:b/>
          <w:bCs/>
          <w:color w:val="000000" w:themeColor="text1"/>
          <w:sz w:val="24"/>
          <w:szCs w:val="24"/>
        </w:rPr>
        <w:t xml:space="preserve"> </w:t>
      </w:r>
    </w:p>
    <w:p w14:paraId="6BC7C261" w14:textId="31176ADE" w:rsidR="00EF7015" w:rsidRPr="00AD7849" w:rsidRDefault="00EF7015" w:rsidP="00EF7015">
      <w:pPr>
        <w:spacing w:line="276" w:lineRule="auto"/>
        <w:jc w:val="center"/>
      </w:pPr>
      <w:r w:rsidRPr="00AD7849">
        <w:rPr>
          <w:rFonts w:ascii="Times New Roman" w:eastAsia="Times New Roman" w:hAnsi="Times New Roman" w:cs="Times New Roman"/>
          <w:color w:val="000000" w:themeColor="text1"/>
          <w:sz w:val="24"/>
          <w:szCs w:val="24"/>
        </w:rPr>
        <w:t xml:space="preserve">2021 m. </w:t>
      </w:r>
      <w:r w:rsidR="00132D6F">
        <w:rPr>
          <w:rFonts w:ascii="Times New Roman" w:eastAsia="Times New Roman" w:hAnsi="Times New Roman" w:cs="Times New Roman"/>
          <w:color w:val="000000" w:themeColor="text1"/>
          <w:sz w:val="24"/>
          <w:szCs w:val="24"/>
        </w:rPr>
        <w:t>Liepos 2</w:t>
      </w:r>
      <w:r w:rsidRPr="00AD7849">
        <w:rPr>
          <w:rFonts w:ascii="Times New Roman" w:eastAsia="Times New Roman" w:hAnsi="Times New Roman" w:cs="Times New Roman"/>
          <w:color w:val="000000" w:themeColor="text1"/>
          <w:sz w:val="24"/>
          <w:szCs w:val="24"/>
        </w:rPr>
        <w:t xml:space="preserve">  d.</w:t>
      </w:r>
    </w:p>
    <w:p w14:paraId="44844CA4" w14:textId="6FD87008" w:rsidR="00EF7015" w:rsidRDefault="00EF7015" w:rsidP="00EF7015">
      <w:pPr>
        <w:spacing w:line="276" w:lineRule="auto"/>
        <w:jc w:val="center"/>
      </w:pPr>
      <w:r w:rsidRPr="00AD7849">
        <w:rPr>
          <w:rFonts w:ascii="Times New Roman" w:eastAsia="Times New Roman" w:hAnsi="Times New Roman" w:cs="Times New Roman"/>
          <w:color w:val="000000" w:themeColor="text1"/>
          <w:sz w:val="24"/>
          <w:szCs w:val="24"/>
        </w:rPr>
        <w:t xml:space="preserve">Vilnius </w:t>
      </w:r>
    </w:p>
    <w:p w14:paraId="5D4ECAFB" w14:textId="77777777" w:rsidR="00EF7015" w:rsidRPr="00EF7015" w:rsidRDefault="00EF7015" w:rsidP="00EF7015">
      <w:pPr>
        <w:spacing w:line="276" w:lineRule="auto"/>
        <w:jc w:val="center"/>
      </w:pPr>
    </w:p>
    <w:p w14:paraId="4DFA4D27" w14:textId="293DD796" w:rsidR="00EF7015" w:rsidRPr="00AD7849" w:rsidRDefault="00EF7015" w:rsidP="00EF7015">
      <w:pPr>
        <w:jc w:val="both"/>
      </w:pPr>
      <w:r w:rsidRPr="00AD7849">
        <w:rPr>
          <w:rFonts w:ascii="Times New Roman" w:eastAsia="Times New Roman" w:hAnsi="Times New Roman" w:cs="Times New Roman"/>
          <w:b/>
          <w:bCs/>
          <w:color w:val="000000" w:themeColor="text1"/>
          <w:sz w:val="24"/>
          <w:szCs w:val="24"/>
        </w:rPr>
        <w:t xml:space="preserve">Problema: </w:t>
      </w:r>
      <w:r w:rsidRPr="00AD7849">
        <w:rPr>
          <w:rFonts w:ascii="Times New Roman" w:eastAsia="Times New Roman" w:hAnsi="Times New Roman" w:cs="Times New Roman"/>
          <w:color w:val="000000" w:themeColor="text1"/>
          <w:sz w:val="24"/>
          <w:szCs w:val="24"/>
        </w:rPr>
        <w:t>Lietuvos piliečių deklaravusių išvykimą į ES ar trečiąsias šalis, skolų     išieškojimo perspektyva.</w:t>
      </w:r>
    </w:p>
    <w:p w14:paraId="166EAE4F" w14:textId="77777777" w:rsidR="00EF7015" w:rsidRPr="00AD7849" w:rsidRDefault="00EF7015" w:rsidP="00EF7015">
      <w:pPr>
        <w:jc w:val="both"/>
      </w:pPr>
      <w:r w:rsidRPr="00AD7849">
        <w:rPr>
          <w:rFonts w:ascii="Times New Roman" w:eastAsia="Times New Roman" w:hAnsi="Times New Roman" w:cs="Times New Roman"/>
          <w:sz w:val="24"/>
          <w:szCs w:val="24"/>
        </w:rPr>
        <w:t xml:space="preserve"> </w:t>
      </w:r>
    </w:p>
    <w:p w14:paraId="2F21B7B6" w14:textId="77777777" w:rsidR="00EF7015" w:rsidRPr="00AD7849" w:rsidRDefault="00EF7015" w:rsidP="00EF7015">
      <w:pPr>
        <w:jc w:val="both"/>
      </w:pPr>
      <w:r w:rsidRPr="00AD7849">
        <w:rPr>
          <w:rFonts w:ascii="Times New Roman" w:eastAsia="Times New Roman" w:hAnsi="Times New Roman" w:cs="Times New Roman"/>
          <w:b/>
          <w:bCs/>
          <w:color w:val="000000" w:themeColor="text1"/>
          <w:sz w:val="24"/>
          <w:szCs w:val="24"/>
        </w:rPr>
        <w:t xml:space="preserve">Siekiamas tikslas: </w:t>
      </w:r>
      <w:r w:rsidRPr="00AD7849">
        <w:rPr>
          <w:rFonts w:ascii="Times New Roman" w:eastAsia="Times New Roman" w:hAnsi="Times New Roman" w:cs="Times New Roman"/>
          <w:color w:val="000000" w:themeColor="text1"/>
          <w:sz w:val="24"/>
          <w:szCs w:val="24"/>
        </w:rPr>
        <w:t>Perspektyvių skolų išieškojimo procedūros išaiškinimas dėl LR piliečių gyvenančių užsienyje.</w:t>
      </w:r>
    </w:p>
    <w:p w14:paraId="3B917EA2" w14:textId="77777777" w:rsidR="00EF7015" w:rsidRPr="00AD7849" w:rsidRDefault="00EF7015" w:rsidP="00EF7015">
      <w:pPr>
        <w:jc w:val="both"/>
      </w:pPr>
      <w:r w:rsidRPr="00AD7849">
        <w:rPr>
          <w:rFonts w:ascii="Times New Roman" w:eastAsia="Times New Roman" w:hAnsi="Times New Roman" w:cs="Times New Roman"/>
          <w:sz w:val="24"/>
          <w:szCs w:val="24"/>
        </w:rPr>
        <w:t xml:space="preserve"> </w:t>
      </w:r>
    </w:p>
    <w:p w14:paraId="57B3EB8F" w14:textId="77777777" w:rsidR="00EF7015" w:rsidRPr="00AD7849" w:rsidRDefault="00EF7015" w:rsidP="00EF7015">
      <w:pPr>
        <w:jc w:val="both"/>
      </w:pPr>
      <w:r w:rsidRPr="00AD7849">
        <w:rPr>
          <w:rFonts w:ascii="Times New Roman" w:eastAsia="Times New Roman" w:hAnsi="Times New Roman" w:cs="Times New Roman"/>
          <w:b/>
          <w:bCs/>
          <w:color w:val="000000" w:themeColor="text1"/>
          <w:sz w:val="24"/>
          <w:szCs w:val="24"/>
        </w:rPr>
        <w:t xml:space="preserve">Aktualumas šilumos tiekėjams: </w:t>
      </w:r>
      <w:r w:rsidRPr="00AD7849">
        <w:rPr>
          <w:rFonts w:ascii="Times New Roman" w:eastAsia="Times New Roman" w:hAnsi="Times New Roman" w:cs="Times New Roman"/>
          <w:color w:val="000000" w:themeColor="text1"/>
          <w:sz w:val="24"/>
          <w:szCs w:val="24"/>
        </w:rPr>
        <w:t>Esamas skolininkų skaičiaus mažinimas visuose šilumos tiekėjų regionuose, kuriuose LR piliečiai paliko būstus ir susikaupė skolos už paslaugų tiekimą.</w:t>
      </w:r>
    </w:p>
    <w:p w14:paraId="2C60BD91" w14:textId="77777777" w:rsidR="00EF7015" w:rsidRPr="00AD7849" w:rsidRDefault="00EF7015" w:rsidP="00EF7015">
      <w:r w:rsidRPr="00AD7849">
        <w:rPr>
          <w:rFonts w:ascii="Times New Roman" w:eastAsia="Times New Roman" w:hAnsi="Times New Roman" w:cs="Times New Roman"/>
          <w:b/>
          <w:bCs/>
          <w:color w:val="000000" w:themeColor="text1"/>
          <w:sz w:val="24"/>
          <w:szCs w:val="24"/>
        </w:rPr>
        <w:t xml:space="preserve"> </w:t>
      </w:r>
    </w:p>
    <w:p w14:paraId="16553DBE" w14:textId="77777777" w:rsidR="00EF7015" w:rsidRPr="00AD7849" w:rsidRDefault="00EF7015" w:rsidP="00EF7015">
      <w:r w:rsidRPr="00AD7849">
        <w:rPr>
          <w:rFonts w:ascii="Times New Roman" w:eastAsia="Times New Roman" w:hAnsi="Times New Roman" w:cs="Times New Roman"/>
          <w:b/>
          <w:bCs/>
          <w:color w:val="000000" w:themeColor="text1"/>
          <w:sz w:val="24"/>
          <w:szCs w:val="24"/>
        </w:rPr>
        <w:t xml:space="preserve">Aktualios nuorodos į teisės aktus: </w:t>
      </w:r>
    </w:p>
    <w:p w14:paraId="5F2E623C" w14:textId="77777777" w:rsidR="00EF7015" w:rsidRPr="00AD7849" w:rsidRDefault="00EF7015" w:rsidP="00EF7015">
      <w:hyperlink r:id="rId5">
        <w:r w:rsidRPr="00AD7849">
          <w:rPr>
            <w:rStyle w:val="Hyperlink"/>
            <w:rFonts w:ascii="Times New Roman" w:eastAsia="Times New Roman" w:hAnsi="Times New Roman" w:cs="Times New Roman"/>
            <w:i/>
            <w:iCs/>
            <w:sz w:val="24"/>
            <w:szCs w:val="24"/>
          </w:rPr>
          <w:t>Europos e. teisingumo portalas (europa.eu)</w:t>
        </w:r>
      </w:hyperlink>
    </w:p>
    <w:p w14:paraId="117B8B31" w14:textId="77777777" w:rsidR="00EF7015" w:rsidRPr="00AD7849" w:rsidRDefault="00EF7015" w:rsidP="00EF7015">
      <w:r w:rsidRPr="00AD7849">
        <w:rPr>
          <w:rFonts w:ascii="Times New Roman" w:eastAsia="Times New Roman" w:hAnsi="Times New Roman" w:cs="Times New Roman"/>
          <w:i/>
          <w:iCs/>
          <w:color w:val="000000" w:themeColor="text1"/>
          <w:sz w:val="24"/>
          <w:szCs w:val="24"/>
        </w:rPr>
        <w:t>LR CPK, 39 str. (kuratoriaus skyrimas)</w:t>
      </w:r>
    </w:p>
    <w:p w14:paraId="4B977FC9" w14:textId="77777777" w:rsidR="00EF7015" w:rsidRPr="00AD7849" w:rsidRDefault="00EF7015" w:rsidP="00EF7015">
      <w:r w:rsidRPr="00AD7849">
        <w:rPr>
          <w:rFonts w:ascii="Times New Roman" w:eastAsia="Times New Roman" w:hAnsi="Times New Roman" w:cs="Times New Roman"/>
          <w:i/>
          <w:iCs/>
          <w:color w:val="000000" w:themeColor="text1"/>
          <w:sz w:val="24"/>
          <w:szCs w:val="24"/>
        </w:rPr>
        <w:t>LR CPK, 164 str. (Teismo teisė sustabdyti bylą)</w:t>
      </w:r>
    </w:p>
    <w:p w14:paraId="0E0E2993" w14:textId="77777777" w:rsidR="00EF7015" w:rsidRPr="00AD7849" w:rsidRDefault="00EF7015" w:rsidP="00EF7015">
      <w:r w:rsidRPr="00AD7849">
        <w:rPr>
          <w:rFonts w:ascii="Times New Roman" w:eastAsia="Times New Roman" w:hAnsi="Times New Roman" w:cs="Times New Roman"/>
          <w:i/>
          <w:iCs/>
          <w:color w:val="000000" w:themeColor="text1"/>
          <w:sz w:val="24"/>
          <w:szCs w:val="24"/>
        </w:rPr>
        <w:t>LR CPK, 178 str. (Įrodinėjimo pareiga)</w:t>
      </w:r>
    </w:p>
    <w:p w14:paraId="505DA0ED" w14:textId="77777777" w:rsidR="00EF7015" w:rsidRPr="00AD7849" w:rsidRDefault="00EF7015" w:rsidP="00EF7015">
      <w:r w:rsidRPr="00AD7849">
        <w:rPr>
          <w:rFonts w:ascii="Times New Roman" w:eastAsia="Times New Roman" w:hAnsi="Times New Roman" w:cs="Times New Roman"/>
          <w:i/>
          <w:iCs/>
          <w:color w:val="000000" w:themeColor="text1"/>
          <w:sz w:val="24"/>
          <w:szCs w:val="24"/>
        </w:rPr>
        <w:t>LR CPK, 433 str. ( Pareiškimo forma ir turinys)</w:t>
      </w:r>
    </w:p>
    <w:p w14:paraId="32F38A9A" w14:textId="77777777" w:rsidR="00EF7015" w:rsidRPr="00AD7849" w:rsidRDefault="00EF7015" w:rsidP="00EF7015">
      <w:r w:rsidRPr="00AD7849">
        <w:rPr>
          <w:rFonts w:ascii="Times New Roman" w:eastAsia="Times New Roman" w:hAnsi="Times New Roman" w:cs="Times New Roman"/>
          <w:i/>
          <w:iCs/>
          <w:color w:val="000000" w:themeColor="text1"/>
          <w:sz w:val="24"/>
          <w:szCs w:val="24"/>
        </w:rPr>
        <w:t>LR CPK, 436 str. (teismo įsakymo išdavimas)</w:t>
      </w:r>
    </w:p>
    <w:p w14:paraId="4418FC01" w14:textId="77777777" w:rsidR="00EF7015" w:rsidRPr="00AD7849" w:rsidRDefault="00EF7015" w:rsidP="00EF7015">
      <w:r w:rsidRPr="00AD7849">
        <w:rPr>
          <w:rFonts w:ascii="Times New Roman" w:eastAsia="Times New Roman" w:hAnsi="Times New Roman" w:cs="Times New Roman"/>
          <w:i/>
          <w:iCs/>
          <w:color w:val="000000" w:themeColor="text1"/>
          <w:sz w:val="24"/>
          <w:szCs w:val="24"/>
        </w:rPr>
        <w:t>LR CPK, 437 str. (Pranešimas skolininkui)</w:t>
      </w:r>
    </w:p>
    <w:p w14:paraId="0D8885D6" w14:textId="77777777" w:rsidR="00EF7015" w:rsidRPr="00AD7849" w:rsidRDefault="00EF7015" w:rsidP="00EF7015">
      <w:r w:rsidRPr="00AD7849">
        <w:rPr>
          <w:rFonts w:ascii="Times New Roman" w:eastAsia="Times New Roman" w:hAnsi="Times New Roman" w:cs="Times New Roman"/>
          <w:i/>
          <w:iCs/>
          <w:color w:val="000000" w:themeColor="text1"/>
          <w:sz w:val="24"/>
          <w:szCs w:val="24"/>
        </w:rPr>
        <w:t>LR CPK, 441 str. (Proceso ypatumai)</w:t>
      </w:r>
    </w:p>
    <w:p w14:paraId="4983238E" w14:textId="77777777" w:rsidR="00EF7015" w:rsidRPr="00AD7849" w:rsidRDefault="00EF7015" w:rsidP="00EF7015">
      <w:r w:rsidRPr="00AD7849">
        <w:rPr>
          <w:rFonts w:ascii="Times New Roman" w:eastAsia="Times New Roman" w:hAnsi="Times New Roman" w:cs="Times New Roman"/>
          <w:i/>
          <w:iCs/>
          <w:color w:val="000000" w:themeColor="text1"/>
          <w:sz w:val="24"/>
          <w:szCs w:val="24"/>
        </w:rPr>
        <w:t>LR CPK, 783 str. 4 d. (Teismingumas)</w:t>
      </w:r>
    </w:p>
    <w:p w14:paraId="46F7DCFF" w14:textId="77777777" w:rsidR="00EF7015" w:rsidRPr="00AD7849" w:rsidRDefault="00EF7015" w:rsidP="00EF7015">
      <w:r w:rsidRPr="00AD7849">
        <w:rPr>
          <w:rFonts w:ascii="Times New Roman" w:eastAsia="Times New Roman" w:hAnsi="Times New Roman" w:cs="Times New Roman"/>
          <w:i/>
          <w:iCs/>
          <w:color w:val="000000" w:themeColor="text1"/>
          <w:sz w:val="24"/>
          <w:szCs w:val="24"/>
        </w:rPr>
        <w:t>LR CK, 6.200 str. (Sutarties vykdymo principai)</w:t>
      </w:r>
    </w:p>
    <w:p w14:paraId="2DE5F762" w14:textId="77777777" w:rsidR="00EF7015" w:rsidRPr="00AD7849" w:rsidRDefault="00EF7015" w:rsidP="00EF7015">
      <w:r w:rsidRPr="00AD7849">
        <w:rPr>
          <w:rFonts w:ascii="Times New Roman" w:eastAsia="Times New Roman" w:hAnsi="Times New Roman" w:cs="Times New Roman"/>
          <w:i/>
          <w:iCs/>
          <w:color w:val="000000" w:themeColor="text1"/>
          <w:sz w:val="24"/>
          <w:szCs w:val="24"/>
        </w:rPr>
        <w:t>LR CK, 6.209 str. (Papildomas terminas sutarčiai)</w:t>
      </w:r>
    </w:p>
    <w:p w14:paraId="6A502EC9" w14:textId="1D35756D" w:rsidR="00EF7015" w:rsidRDefault="00EF7015" w:rsidP="00EF7015">
      <w:pPr>
        <w:jc w:val="both"/>
        <w:rPr>
          <w:rFonts w:ascii="Times New Roman" w:eastAsia="Times New Roman" w:hAnsi="Times New Roman" w:cs="Times New Roman"/>
          <w:b/>
          <w:bCs/>
          <w:sz w:val="24"/>
          <w:szCs w:val="24"/>
        </w:rPr>
      </w:pPr>
      <w:r w:rsidRPr="00AD7849">
        <w:rPr>
          <w:rFonts w:ascii="Times New Roman" w:eastAsia="Times New Roman" w:hAnsi="Times New Roman" w:cs="Times New Roman"/>
          <w:b/>
          <w:bCs/>
          <w:sz w:val="24"/>
          <w:szCs w:val="24"/>
        </w:rPr>
        <w:t xml:space="preserve"> </w:t>
      </w:r>
    </w:p>
    <w:p w14:paraId="26E68727" w14:textId="77777777" w:rsidR="00824998" w:rsidRPr="00AD7849" w:rsidRDefault="00824998" w:rsidP="00EF7015">
      <w:pPr>
        <w:jc w:val="both"/>
      </w:pPr>
    </w:p>
    <w:p w14:paraId="211FBA1A" w14:textId="6ED44E7B" w:rsidR="00EF7015" w:rsidRPr="00AD7849" w:rsidRDefault="00EF7015" w:rsidP="00824998">
      <w:pPr>
        <w:pStyle w:val="ListParagraph"/>
        <w:ind w:left="1080"/>
        <w:jc w:val="both"/>
        <w:rPr>
          <w:rFonts w:ascii="Times New Roman" w:eastAsia="Times New Roman" w:hAnsi="Times New Roman" w:cs="Times New Roman"/>
          <w:b/>
          <w:bCs/>
          <w:color w:val="000000" w:themeColor="text1"/>
          <w:sz w:val="28"/>
          <w:szCs w:val="28"/>
        </w:rPr>
      </w:pPr>
      <w:r w:rsidRPr="00AD7849">
        <w:rPr>
          <w:rFonts w:ascii="Times New Roman" w:eastAsia="Times New Roman" w:hAnsi="Times New Roman" w:cs="Times New Roman"/>
          <w:b/>
          <w:bCs/>
          <w:color w:val="000000" w:themeColor="text1"/>
          <w:sz w:val="28"/>
          <w:szCs w:val="28"/>
        </w:rPr>
        <w:lastRenderedPageBreak/>
        <w:t xml:space="preserve"> Skolos išieškojimo galimybė, perspektyva užsienio valstybėse</w:t>
      </w:r>
    </w:p>
    <w:p w14:paraId="59332C32" w14:textId="77777777" w:rsidR="00EF7015" w:rsidRPr="00AD7849" w:rsidRDefault="00EF7015" w:rsidP="00EF7015">
      <w:pPr>
        <w:rPr>
          <w:b/>
          <w:bCs/>
          <w:color w:val="000000" w:themeColor="text1"/>
        </w:rPr>
      </w:pPr>
    </w:p>
    <w:p w14:paraId="1B334F36" w14:textId="77777777" w:rsidR="00EF7015" w:rsidRPr="00AD7849" w:rsidRDefault="00EF7015" w:rsidP="00EF7015">
      <w:pPr>
        <w:jc w:val="both"/>
      </w:pPr>
      <w:r w:rsidRPr="00AD7849">
        <w:rPr>
          <w:rFonts w:ascii="Times New Roman" w:eastAsia="Times New Roman" w:hAnsi="Times New Roman" w:cs="Times New Roman"/>
          <w:color w:val="000000" w:themeColor="text1"/>
          <w:sz w:val="24"/>
          <w:szCs w:val="24"/>
        </w:rPr>
        <w:t xml:space="preserve">                Gauta duomenų iš AB „Panevėžio energijos“, kad šiuo metu turi problemų su Lietuvos piliečiais, kurie deklaruoja išvykimą į užsienio valstybę, tačiau palieka skolas už tiekiam</w:t>
      </w:r>
      <w:r>
        <w:rPr>
          <w:rFonts w:ascii="Times New Roman" w:eastAsia="Times New Roman" w:hAnsi="Times New Roman" w:cs="Times New Roman"/>
          <w:color w:val="000000" w:themeColor="text1"/>
          <w:sz w:val="24"/>
          <w:szCs w:val="24"/>
        </w:rPr>
        <w:t>ą</w:t>
      </w:r>
      <w:r w:rsidRPr="00AD7849">
        <w:rPr>
          <w:rFonts w:ascii="Times New Roman" w:eastAsia="Times New Roman" w:hAnsi="Times New Roman" w:cs="Times New Roman"/>
          <w:color w:val="000000" w:themeColor="text1"/>
          <w:sz w:val="24"/>
          <w:szCs w:val="24"/>
        </w:rPr>
        <w:t xml:space="preserve"> šilumą, </w:t>
      </w:r>
      <w:r>
        <w:rPr>
          <w:rFonts w:ascii="Times New Roman" w:eastAsia="Times New Roman" w:hAnsi="Times New Roman" w:cs="Times New Roman"/>
          <w:color w:val="000000" w:themeColor="text1"/>
          <w:sz w:val="24"/>
          <w:szCs w:val="24"/>
        </w:rPr>
        <w:t xml:space="preserve">karštą </w:t>
      </w:r>
      <w:r w:rsidRPr="00AD7849">
        <w:rPr>
          <w:rFonts w:ascii="Times New Roman" w:eastAsia="Times New Roman" w:hAnsi="Times New Roman" w:cs="Times New Roman"/>
          <w:color w:val="000000" w:themeColor="text1"/>
          <w:sz w:val="24"/>
          <w:szCs w:val="24"/>
        </w:rPr>
        <w:t>vandenį. Didėjant skoloms, ir neturint teisinių žinių bei praktikos dėl skolų išieškojimo už Lietuvos Respublikos (toliau – LR) ribų, per kelerius metus susikaupia skolos, kurios skaičiuojamos šimtais tūkstančių</w:t>
      </w:r>
      <w:r>
        <w:rPr>
          <w:rFonts w:ascii="Times New Roman" w:eastAsia="Times New Roman" w:hAnsi="Times New Roman" w:cs="Times New Roman"/>
          <w:color w:val="000000" w:themeColor="text1"/>
          <w:sz w:val="24"/>
          <w:szCs w:val="24"/>
        </w:rPr>
        <w:t xml:space="preserve"> eurų</w:t>
      </w:r>
      <w:r w:rsidRPr="00AD7849">
        <w:rPr>
          <w:rFonts w:ascii="Times New Roman" w:eastAsia="Times New Roman" w:hAnsi="Times New Roman" w:cs="Times New Roman"/>
          <w:color w:val="000000" w:themeColor="text1"/>
          <w:sz w:val="24"/>
          <w:szCs w:val="24"/>
        </w:rPr>
        <w:t>. Lietuvos šilumos tiekėjų asociacija įžvelgia neigiam</w:t>
      </w:r>
      <w:r>
        <w:rPr>
          <w:rFonts w:ascii="Times New Roman" w:eastAsia="Times New Roman" w:hAnsi="Times New Roman" w:cs="Times New Roman"/>
          <w:color w:val="000000" w:themeColor="text1"/>
          <w:sz w:val="24"/>
          <w:szCs w:val="24"/>
        </w:rPr>
        <w:t>ą</w:t>
      </w:r>
      <w:r w:rsidRPr="00AD7849">
        <w:rPr>
          <w:rFonts w:ascii="Times New Roman" w:eastAsia="Times New Roman" w:hAnsi="Times New Roman" w:cs="Times New Roman"/>
          <w:color w:val="000000" w:themeColor="text1"/>
          <w:sz w:val="24"/>
          <w:szCs w:val="24"/>
        </w:rPr>
        <w:t xml:space="preserve"> tendencij</w:t>
      </w:r>
      <w:r>
        <w:rPr>
          <w:rFonts w:ascii="Times New Roman" w:eastAsia="Times New Roman" w:hAnsi="Times New Roman" w:cs="Times New Roman"/>
          <w:color w:val="000000" w:themeColor="text1"/>
          <w:sz w:val="24"/>
          <w:szCs w:val="24"/>
        </w:rPr>
        <w:t>ą</w:t>
      </w:r>
      <w:r w:rsidRPr="00AD7849">
        <w:rPr>
          <w:rFonts w:ascii="Times New Roman" w:eastAsia="Times New Roman" w:hAnsi="Times New Roman" w:cs="Times New Roman"/>
          <w:color w:val="000000" w:themeColor="text1"/>
          <w:sz w:val="24"/>
          <w:szCs w:val="24"/>
        </w:rPr>
        <w:t>, kad išvykimas iš LR tampa „išsigelbėjimu“ nuo skolos</w:t>
      </w:r>
      <w:r>
        <w:rPr>
          <w:rFonts w:ascii="Times New Roman" w:eastAsia="Times New Roman" w:hAnsi="Times New Roman" w:cs="Times New Roman"/>
          <w:color w:val="000000" w:themeColor="text1"/>
          <w:sz w:val="24"/>
          <w:szCs w:val="24"/>
        </w:rPr>
        <w:t xml:space="preserve"> už komunalines paslaugas</w:t>
      </w:r>
      <w:r w:rsidRPr="00AD7849">
        <w:rPr>
          <w:rFonts w:ascii="Times New Roman" w:eastAsia="Times New Roman" w:hAnsi="Times New Roman" w:cs="Times New Roman"/>
          <w:color w:val="000000" w:themeColor="text1"/>
          <w:sz w:val="24"/>
          <w:szCs w:val="24"/>
        </w:rPr>
        <w:t xml:space="preserve">, kadangi antstolių veikla veikti </w:t>
      </w:r>
      <w:r>
        <w:rPr>
          <w:rFonts w:ascii="Times New Roman" w:eastAsia="Times New Roman" w:hAnsi="Times New Roman" w:cs="Times New Roman"/>
          <w:color w:val="000000" w:themeColor="text1"/>
          <w:sz w:val="24"/>
          <w:szCs w:val="24"/>
        </w:rPr>
        <w:t xml:space="preserve">apribota </w:t>
      </w:r>
      <w:r w:rsidRPr="00AD7849">
        <w:rPr>
          <w:rFonts w:ascii="Times New Roman" w:eastAsia="Times New Roman" w:hAnsi="Times New Roman" w:cs="Times New Roman"/>
          <w:color w:val="000000" w:themeColor="text1"/>
          <w:sz w:val="24"/>
          <w:szCs w:val="24"/>
        </w:rPr>
        <w:t>išimtinai tik LR teritorijoje. Pagal  2021-06-10 gautą AB „Panevėžio energijos“ raštą, buvo apklaustos ir kitos asociacijos narės, domėtasi gerąj</w:t>
      </w:r>
      <w:r>
        <w:rPr>
          <w:rFonts w:ascii="Times New Roman" w:eastAsia="Times New Roman" w:hAnsi="Times New Roman" w:cs="Times New Roman"/>
          <w:color w:val="000000" w:themeColor="text1"/>
          <w:sz w:val="24"/>
          <w:szCs w:val="24"/>
        </w:rPr>
        <w:t>a</w:t>
      </w:r>
      <w:r w:rsidRPr="00AD7849">
        <w:rPr>
          <w:rFonts w:ascii="Times New Roman" w:eastAsia="Times New Roman" w:hAnsi="Times New Roman" w:cs="Times New Roman"/>
          <w:color w:val="000000" w:themeColor="text1"/>
          <w:sz w:val="24"/>
          <w:szCs w:val="24"/>
        </w:rPr>
        <w:t xml:space="preserve"> praktika ir tendencijomis išieškant skolas. Atkreiptinas dėmesys, kad didžioji dalis atsakiusių į siųst</w:t>
      </w:r>
      <w:r>
        <w:rPr>
          <w:rFonts w:ascii="Times New Roman" w:eastAsia="Times New Roman" w:hAnsi="Times New Roman" w:cs="Times New Roman"/>
          <w:color w:val="000000" w:themeColor="text1"/>
          <w:sz w:val="24"/>
          <w:szCs w:val="24"/>
        </w:rPr>
        <w:t>ą</w:t>
      </w:r>
      <w:r w:rsidRPr="00AD7849">
        <w:rPr>
          <w:rFonts w:ascii="Times New Roman" w:eastAsia="Times New Roman" w:hAnsi="Times New Roman" w:cs="Times New Roman"/>
          <w:color w:val="000000" w:themeColor="text1"/>
          <w:sz w:val="24"/>
          <w:szCs w:val="24"/>
        </w:rPr>
        <w:t xml:space="preserve"> paklausimą dėl skolininkų, dalis asociacijos narių pažymėjo, kad skolininkų turi arba jų turi nedaug ir skolos nėra ženklios. Reikia pastebėti, kad Civilinio proceso kodeksas (toliau – CPK) aiškiai apibrėžia, kad kreditorius turi būti pats iniciatyvus CK 6.200 str. Tai reiškia, kad kreditorius negali skolininko neinformuoti apie auganči</w:t>
      </w:r>
      <w:r>
        <w:rPr>
          <w:rFonts w:ascii="Times New Roman" w:eastAsia="Times New Roman" w:hAnsi="Times New Roman" w:cs="Times New Roman"/>
          <w:color w:val="000000" w:themeColor="text1"/>
          <w:sz w:val="24"/>
          <w:szCs w:val="24"/>
        </w:rPr>
        <w:t>ą</w:t>
      </w:r>
      <w:r w:rsidRPr="00AD7849">
        <w:rPr>
          <w:rFonts w:ascii="Times New Roman" w:eastAsia="Times New Roman" w:hAnsi="Times New Roman" w:cs="Times New Roman"/>
          <w:color w:val="000000" w:themeColor="text1"/>
          <w:sz w:val="24"/>
          <w:szCs w:val="24"/>
        </w:rPr>
        <w:t xml:space="preserve"> skolą, turi ieškoti ryšio palaikymo, išskyrus aišk</w:t>
      </w:r>
      <w:r>
        <w:rPr>
          <w:rFonts w:ascii="Times New Roman" w:eastAsia="Times New Roman" w:hAnsi="Times New Roman" w:cs="Times New Roman"/>
          <w:color w:val="000000" w:themeColor="text1"/>
          <w:sz w:val="24"/>
          <w:szCs w:val="24"/>
        </w:rPr>
        <w:t>ų</w:t>
      </w:r>
      <w:r w:rsidRPr="00AD7849">
        <w:rPr>
          <w:rFonts w:ascii="Times New Roman" w:eastAsia="Times New Roman" w:hAnsi="Times New Roman" w:cs="Times New Roman"/>
          <w:color w:val="000000" w:themeColor="text1"/>
          <w:sz w:val="24"/>
          <w:szCs w:val="24"/>
        </w:rPr>
        <w:t xml:space="preserve"> vengimą iš skolininko pus</w:t>
      </w:r>
      <w:r>
        <w:rPr>
          <w:rFonts w:ascii="Times New Roman" w:eastAsia="Times New Roman" w:hAnsi="Times New Roman" w:cs="Times New Roman"/>
          <w:color w:val="000000" w:themeColor="text1"/>
          <w:sz w:val="24"/>
          <w:szCs w:val="24"/>
        </w:rPr>
        <w:t>ė</w:t>
      </w:r>
      <w:r w:rsidRPr="00AD7849">
        <w:rPr>
          <w:rFonts w:ascii="Times New Roman" w:eastAsia="Times New Roman" w:hAnsi="Times New Roman" w:cs="Times New Roman"/>
          <w:color w:val="000000" w:themeColor="text1"/>
          <w:sz w:val="24"/>
          <w:szCs w:val="24"/>
        </w:rPr>
        <w:t>s (pvz</w:t>
      </w:r>
      <w:r>
        <w:rPr>
          <w:rFonts w:ascii="Times New Roman" w:eastAsia="Times New Roman" w:hAnsi="Times New Roman" w:cs="Times New Roman"/>
          <w:color w:val="000000" w:themeColor="text1"/>
          <w:sz w:val="24"/>
          <w:szCs w:val="24"/>
        </w:rPr>
        <w:t>.</w:t>
      </w:r>
      <w:r w:rsidRPr="00AD7849">
        <w:rPr>
          <w:rFonts w:ascii="Times New Roman" w:eastAsia="Times New Roman" w:hAnsi="Times New Roman" w:cs="Times New Roman"/>
          <w:color w:val="000000" w:themeColor="text1"/>
          <w:sz w:val="24"/>
          <w:szCs w:val="24"/>
        </w:rPr>
        <w:t xml:space="preserve">, ignoruojant skambučius, el. </w:t>
      </w:r>
      <w:r>
        <w:rPr>
          <w:rFonts w:ascii="Times New Roman" w:eastAsia="Times New Roman" w:hAnsi="Times New Roman" w:cs="Times New Roman"/>
          <w:color w:val="000000" w:themeColor="text1"/>
          <w:sz w:val="24"/>
          <w:szCs w:val="24"/>
        </w:rPr>
        <w:t>p</w:t>
      </w:r>
      <w:r w:rsidRPr="00AD7849">
        <w:rPr>
          <w:rFonts w:ascii="Times New Roman" w:eastAsia="Times New Roman" w:hAnsi="Times New Roman" w:cs="Times New Roman"/>
          <w:color w:val="000000" w:themeColor="text1"/>
          <w:sz w:val="24"/>
          <w:szCs w:val="24"/>
        </w:rPr>
        <w:t>aštą, registruotus laiškus). Pastaroji sąlyga labai svarbi siekiant įrodyti, kad su asmeniu, nors ir išvykusiu į kitą valstybę – bendraujama, arba siekiama rasti su juo ryšį. Esant poreikiui, arba užtikrinti neginčijamą faktą, kad asmuo nebendrauja ir nekreipia dėmesio į raginimus padengti skolą. Galima pagal CK 6.209 str. papildomai skirti laiko sutarčiai įvykdyti. Tai svarbus aspektas, tiek LR tiek ES valstybių kompetentingoms institucijoms, kadangi duodamas papildomas terminas surasti kompromisą abejoms pusėms skolai likviduoti. Nesant jokių giminaiči</w:t>
      </w:r>
      <w:r>
        <w:rPr>
          <w:rFonts w:ascii="Times New Roman" w:eastAsia="Times New Roman" w:hAnsi="Times New Roman" w:cs="Times New Roman"/>
          <w:color w:val="000000" w:themeColor="text1"/>
          <w:sz w:val="24"/>
          <w:szCs w:val="24"/>
        </w:rPr>
        <w:t>ų</w:t>
      </w:r>
      <w:r w:rsidRPr="00AD7849">
        <w:rPr>
          <w:rFonts w:ascii="Times New Roman" w:eastAsia="Times New Roman" w:hAnsi="Times New Roman" w:cs="Times New Roman"/>
          <w:color w:val="000000" w:themeColor="text1"/>
          <w:sz w:val="24"/>
          <w:szCs w:val="24"/>
        </w:rPr>
        <w:t xml:space="preserve"> LR, neturint duomenų apie kitą turtą, tačiau žinant</w:t>
      </w:r>
      <w:r>
        <w:rPr>
          <w:rFonts w:ascii="Times New Roman" w:eastAsia="Times New Roman" w:hAnsi="Times New Roman" w:cs="Times New Roman"/>
          <w:color w:val="000000" w:themeColor="text1"/>
          <w:sz w:val="24"/>
          <w:szCs w:val="24"/>
        </w:rPr>
        <w:t>,</w:t>
      </w:r>
      <w:r w:rsidRPr="00AD7849">
        <w:rPr>
          <w:rFonts w:ascii="Times New Roman" w:eastAsia="Times New Roman" w:hAnsi="Times New Roman" w:cs="Times New Roman"/>
          <w:color w:val="000000" w:themeColor="text1"/>
          <w:sz w:val="24"/>
          <w:szCs w:val="24"/>
        </w:rPr>
        <w:t xml:space="preserve"> jog asmuo proceso metu išvyko ir deklaravo savo gyvenamąją vietą vienoje iš ES valstybių, galime atlikti kitas procedūras skolininko atžvilgiu:</w:t>
      </w:r>
    </w:p>
    <w:p w14:paraId="1A728451" w14:textId="77777777" w:rsidR="00EF7015" w:rsidRPr="00AD7849" w:rsidRDefault="00EF7015" w:rsidP="00EF7015">
      <w:pPr>
        <w:jc w:val="both"/>
      </w:pPr>
      <w:r w:rsidRPr="00AD7849">
        <w:rPr>
          <w:rFonts w:ascii="Times New Roman" w:eastAsia="Times New Roman" w:hAnsi="Times New Roman" w:cs="Times New Roman"/>
          <w:i/>
          <w:iCs/>
          <w:color w:val="000000" w:themeColor="text1"/>
          <w:sz w:val="24"/>
          <w:szCs w:val="24"/>
        </w:rPr>
        <w:t xml:space="preserve"> </w:t>
      </w:r>
    </w:p>
    <w:p w14:paraId="364AC5A8" w14:textId="77777777" w:rsidR="00EF7015" w:rsidRPr="00AD7849" w:rsidRDefault="00EF7015" w:rsidP="00EF7015">
      <w:pPr>
        <w:jc w:val="center"/>
      </w:pPr>
      <w:r w:rsidRPr="00AD7849">
        <w:rPr>
          <w:rFonts w:ascii="Times New Roman" w:eastAsia="Times New Roman" w:hAnsi="Times New Roman" w:cs="Times New Roman"/>
          <w:b/>
          <w:bCs/>
          <w:i/>
          <w:iCs/>
          <w:color w:val="000000" w:themeColor="text1"/>
          <w:sz w:val="24"/>
          <w:szCs w:val="24"/>
          <w:u w:val="single"/>
        </w:rPr>
        <w:t>Skolininko banko sąskaitų blokavimo galimybė Europos Sąjungos šalyse</w:t>
      </w:r>
    </w:p>
    <w:p w14:paraId="6D8D9AA4" w14:textId="77777777" w:rsidR="00EF7015" w:rsidRPr="00AD7849" w:rsidRDefault="00EF7015" w:rsidP="00EF7015">
      <w:pPr>
        <w:jc w:val="center"/>
        <w:rPr>
          <w:rFonts w:ascii="Times New Roman" w:eastAsia="Times New Roman" w:hAnsi="Times New Roman" w:cs="Times New Roman"/>
          <w:b/>
          <w:bCs/>
          <w:i/>
          <w:iCs/>
          <w:color w:val="000000" w:themeColor="text1"/>
          <w:sz w:val="24"/>
          <w:szCs w:val="24"/>
          <w:u w:val="single"/>
        </w:rPr>
      </w:pPr>
    </w:p>
    <w:p w14:paraId="6C7272E5" w14:textId="77777777" w:rsidR="00EF7015" w:rsidRPr="00AD7849" w:rsidRDefault="00EF7015" w:rsidP="00EF7015">
      <w:pPr>
        <w:pStyle w:val="ListParagraph"/>
        <w:numPr>
          <w:ilvl w:val="3"/>
          <w:numId w:val="4"/>
        </w:numPr>
        <w:rPr>
          <w:rFonts w:eastAsiaTheme="minorEastAsia"/>
          <w:color w:val="000000" w:themeColor="text1"/>
        </w:rPr>
      </w:pPr>
      <w:r w:rsidRPr="00AD7849">
        <w:rPr>
          <w:color w:val="000000" w:themeColor="text1"/>
        </w:rPr>
        <w:t>Nuo 2017-01-18 įsigaliojo 2014-05-15 Europos Parlamento ir Tarybos reglamentas (ES) Nr. 655/2014, kuriuo nustatoma europinio sąskaitos blokavimo įsakymo procedūra, siekiant palengvinti tarpvalstybinį skolų išieškojimą civilinėse ir komercinėse bylose (toliau – europinio sąskaitos blokavimo įsakymas (ESBĮ). ESBĮ vienos ES šalies teismui sudaroma galimybė areštuoti lėšas skolininko banko sąskaitoje kitoje ES šalyje. ESBĮ procedūra netaikoma Danijoje ir Jungtinėje Karalystėje.</w:t>
      </w:r>
    </w:p>
    <w:p w14:paraId="7DAEBBFD" w14:textId="77777777" w:rsidR="00EF7015" w:rsidRPr="00AD7849" w:rsidRDefault="00EF7015" w:rsidP="00EF7015">
      <w:pPr>
        <w:pStyle w:val="ListParagraph"/>
        <w:numPr>
          <w:ilvl w:val="0"/>
          <w:numId w:val="4"/>
        </w:numPr>
        <w:rPr>
          <w:rFonts w:eastAsiaTheme="minorEastAsia"/>
          <w:color w:val="000000" w:themeColor="text1"/>
        </w:rPr>
      </w:pPr>
      <w:r w:rsidRPr="00AD7849">
        <w:rPr>
          <w:color w:val="000000" w:themeColor="text1"/>
        </w:rPr>
        <w:t>ESBĮ kreditorius gali pasinaudoti dviem atvejais:</w:t>
      </w:r>
    </w:p>
    <w:p w14:paraId="336EE268" w14:textId="77777777" w:rsidR="00EF7015" w:rsidRPr="00AD7849" w:rsidRDefault="00EF7015" w:rsidP="00EF7015">
      <w:pPr>
        <w:pStyle w:val="ListParagraph"/>
        <w:numPr>
          <w:ilvl w:val="0"/>
          <w:numId w:val="4"/>
        </w:numPr>
        <w:rPr>
          <w:rFonts w:eastAsiaTheme="minorEastAsia"/>
          <w:color w:val="000000" w:themeColor="text1"/>
        </w:rPr>
      </w:pPr>
      <w:r w:rsidRPr="00AD7849">
        <w:rPr>
          <w:color w:val="000000" w:themeColor="text1"/>
        </w:rPr>
        <w:t>Iki kreditoriui valstybėje narėje pradedant teismo procesą prieš skolininką dėl bylos esmės arba bet kuriuo tokio proceso etapu, kol nėra paskelbtas teismo sprendimas arba nėra patvirtinta ar sudaryta taikos sutartis;</w:t>
      </w:r>
    </w:p>
    <w:p w14:paraId="3FF06F3F" w14:textId="77777777" w:rsidR="00EF7015" w:rsidRPr="00AD7849" w:rsidRDefault="00EF7015" w:rsidP="00EF7015">
      <w:pPr>
        <w:pStyle w:val="ListParagraph"/>
        <w:numPr>
          <w:ilvl w:val="0"/>
          <w:numId w:val="4"/>
        </w:numPr>
        <w:rPr>
          <w:rFonts w:eastAsiaTheme="minorEastAsia"/>
          <w:color w:val="000000" w:themeColor="text1"/>
        </w:rPr>
      </w:pPr>
      <w:r w:rsidRPr="00AD7849">
        <w:rPr>
          <w:color w:val="000000" w:themeColor="text1"/>
        </w:rPr>
        <w:lastRenderedPageBreak/>
        <w:t>Po to, kai kreditoriui valstybėje narėje išduotas teismo sprendimas, sudaryta taikos sutartis arba išduotas autentiškas dokumentas, pagal kurį reikalaujama, kad skolininkas sumokėtų kreditoriaus reikalavimo sumą.</w:t>
      </w:r>
    </w:p>
    <w:p w14:paraId="05E897F6" w14:textId="77777777" w:rsidR="00EF7015" w:rsidRPr="00AD7849" w:rsidRDefault="00EF7015" w:rsidP="00EF7015">
      <w:pPr>
        <w:pStyle w:val="ListParagraph"/>
        <w:numPr>
          <w:ilvl w:val="1"/>
          <w:numId w:val="3"/>
        </w:numPr>
        <w:rPr>
          <w:rFonts w:eastAsiaTheme="minorEastAsia"/>
          <w:color w:val="000000" w:themeColor="text1"/>
        </w:rPr>
      </w:pPr>
      <w:r w:rsidRPr="00AD7849">
        <w:rPr>
          <w:color w:val="000000" w:themeColor="text1"/>
        </w:rPr>
        <w:t>Pabrėžtina, kad kol nėra paskelbtas teismo sprendimas, prieš išduodamas ESBĮ, teismas turi pareikalauti, kad kreditorius pateiktų garantiją sumai, kurios pakaktų užkirsti kelią piktnaudžiavimui reglamente numatyta procedūra ir užtikrinti žalos, skolininko patiriamos dėl įsakymo, atlyginimą tokia apimtimi, kokia kreditorius yra atsakingas už tokią žalą, išskyrus jei teismas pripažįsta, jog tokia procedūra netikslinga (ESBĮ 12 str. 1 d.). Tačiau teismas net ir po priimto teismo sprendimo arba išduoto autentiško dokumento (teismo vykdomojo rašto) gali reikalauti, kad kreditorius pateiktų garantiją, jeigu mano, kad konkretaus atvejo aplinkybėmis tai yra būtina ir tikslinga (ESBĮ 12 str. 2 d.).</w:t>
      </w:r>
    </w:p>
    <w:p w14:paraId="471A6433" w14:textId="77777777" w:rsidR="00EF7015" w:rsidRPr="00AD7849" w:rsidRDefault="00EF7015" w:rsidP="00EF7015">
      <w:pPr>
        <w:pStyle w:val="ListParagraph"/>
        <w:numPr>
          <w:ilvl w:val="1"/>
          <w:numId w:val="3"/>
        </w:numPr>
        <w:rPr>
          <w:rFonts w:eastAsiaTheme="minorEastAsia"/>
          <w:color w:val="000000" w:themeColor="text1"/>
        </w:rPr>
      </w:pPr>
      <w:r w:rsidRPr="00AD7849">
        <w:rPr>
          <w:color w:val="000000" w:themeColor="text1"/>
        </w:rPr>
        <w:t>Kreditorius, norėdamas gauti ESBĮ, teismui, kuriame vyksta teismo procesas ar priimtas sprendimas, pateikia specialų tipinės formos prašymą (šią formą galima rasti ES Teisingumo Teismo portale).</w:t>
      </w:r>
    </w:p>
    <w:p w14:paraId="5A82DC55" w14:textId="77777777" w:rsidR="00EF7015" w:rsidRPr="00AD7849" w:rsidRDefault="00EF7015" w:rsidP="00EF7015">
      <w:pPr>
        <w:pStyle w:val="ListParagraph"/>
        <w:numPr>
          <w:ilvl w:val="1"/>
          <w:numId w:val="3"/>
        </w:numPr>
        <w:rPr>
          <w:rFonts w:eastAsiaTheme="minorEastAsia"/>
          <w:color w:val="000000" w:themeColor="text1"/>
        </w:rPr>
      </w:pPr>
      <w:r w:rsidRPr="00AD7849">
        <w:rPr>
          <w:color w:val="000000" w:themeColor="text1"/>
        </w:rPr>
        <w:t>Prie prašymo pridedami visi reikšmingi patvirtinamieji dokumentai, ir, kai kreditoriui jau yra išduotas teismo sprendimas, sudaryta taikos sutartis arba išduotas autentiškas dokumentas – teismo sprendimo, taikos sutarties arba autentiško dokumento kopija, atitinkanti būtinas jo autentiškumo nustatymo sąlygas (ESBĮ 8 str. 1-3 d.).</w:t>
      </w:r>
    </w:p>
    <w:p w14:paraId="694B809E" w14:textId="77777777" w:rsidR="00EF7015" w:rsidRPr="00AD7849" w:rsidRDefault="00EF7015" w:rsidP="00EF7015">
      <w:pPr>
        <w:pStyle w:val="ListParagraph"/>
        <w:numPr>
          <w:ilvl w:val="1"/>
          <w:numId w:val="3"/>
        </w:numPr>
        <w:rPr>
          <w:rFonts w:eastAsiaTheme="minorEastAsia"/>
          <w:color w:val="000000" w:themeColor="text1"/>
        </w:rPr>
      </w:pPr>
      <w:r w:rsidRPr="00AD7849">
        <w:rPr>
          <w:color w:val="000000" w:themeColor="text1"/>
        </w:rPr>
        <w:t>Jeigu skolininko gyvenamoji vieta (buveinė) yra kitoje ES valstybėje nei valstybėje, kurioje išduotas blokavimo įsakymas, įsakymą išdavęs teismas arba kreditorius, priklausomai nuo to, kam tenka pareiga inicijuoti įteikimą valstybėje, kurioje išduotas blokavimo įsakymas, ne vėliau kaip iki trečios darbo dienos, einančios po dienos, kurią gauta deklaracija, kurioje nurodyta, kad sumos buvo užblokuotos, pabaigos perduoda dokumentus ES valstybės, kurioje yra skolininko gyvenamoji vieta (buveinė), kompetentingai valdžios institucijai. Ta valdžios institucija nedelsdama imasi reikiamų veiksmų, kad dokumentai skolininkui būtų įteikti pagal ES valstybės, kurioje yra skolininko nuolatinė gyvenamoji vieta (buveinė), teisę.</w:t>
      </w:r>
    </w:p>
    <w:p w14:paraId="10922224" w14:textId="77777777" w:rsidR="00EF7015" w:rsidRPr="00AD7849" w:rsidRDefault="00EF7015" w:rsidP="00EF7015">
      <w:pPr>
        <w:pStyle w:val="ListParagraph"/>
        <w:numPr>
          <w:ilvl w:val="1"/>
          <w:numId w:val="3"/>
        </w:numPr>
        <w:rPr>
          <w:rFonts w:eastAsiaTheme="minorEastAsia"/>
          <w:color w:val="000000" w:themeColor="text1"/>
        </w:rPr>
      </w:pPr>
      <w:r w:rsidRPr="00AD7849">
        <w:rPr>
          <w:color w:val="000000" w:themeColor="text1"/>
        </w:rPr>
        <w:t>Vienoje ES valstybėje pagal šį reglamentą išduotas blokavimo įsakymas pripažįstamas kitose ES valstybėse nereikalaujant jokios specialios procedūros ir yra vykdytinas kitoje ES valstybėje nereikalaujant įsakymo paskelbimo vykdytinu (ESBĮ 22 str.).</w:t>
      </w:r>
    </w:p>
    <w:p w14:paraId="51347267" w14:textId="77777777" w:rsidR="00EF7015" w:rsidRPr="00AD7849" w:rsidRDefault="00EF7015" w:rsidP="00EF7015">
      <w:pPr>
        <w:pStyle w:val="ListParagraph"/>
        <w:numPr>
          <w:ilvl w:val="1"/>
          <w:numId w:val="3"/>
        </w:numPr>
        <w:rPr>
          <w:rFonts w:eastAsiaTheme="minorEastAsia"/>
          <w:color w:val="000000" w:themeColor="text1"/>
        </w:rPr>
      </w:pPr>
      <w:r w:rsidRPr="00AD7849">
        <w:rPr>
          <w:color w:val="000000" w:themeColor="text1"/>
        </w:rPr>
        <w:t>Taigi Lietuvoje antstoliai galės vykdyti blokavimo įsakymus, nes blokavimo įsakymas vykdomas pagal procedūras, taikomas lygiaverčių nacionalinių įsakymų vykdymui ES valstybėje, kurioje yra blokuotina banko sąskaita (ESBĮ 23 str. 1 str.).</w:t>
      </w:r>
    </w:p>
    <w:p w14:paraId="6415C384" w14:textId="77777777" w:rsidR="00EF7015" w:rsidRPr="00AD7849" w:rsidRDefault="00EF7015" w:rsidP="00EF7015">
      <w:pPr>
        <w:pStyle w:val="ListParagraph"/>
        <w:numPr>
          <w:ilvl w:val="1"/>
          <w:numId w:val="3"/>
        </w:numPr>
        <w:rPr>
          <w:rFonts w:eastAsiaTheme="minorEastAsia"/>
          <w:color w:val="000000" w:themeColor="text1"/>
        </w:rPr>
      </w:pPr>
      <w:r w:rsidRPr="00AD7849">
        <w:rPr>
          <w:color w:val="000000" w:themeColor="text1"/>
        </w:rPr>
        <w:t>Bankas, kuriam adresuotas blokavimo įsakymas, gavęs įsakymą arba, jeigu taip numatyta vykdymo ES valstybės teisėje, gavęs atitinkamą nurodymą įgyvendinti įsakymą, jį įgyvendina nedelsdamas (ESBĮ 24 str. 1 d.).</w:t>
      </w:r>
    </w:p>
    <w:p w14:paraId="31FA8096" w14:textId="77777777" w:rsidR="00EF7015" w:rsidRPr="00AD7849" w:rsidRDefault="00EF7015" w:rsidP="00EF7015">
      <w:pPr>
        <w:pStyle w:val="ListParagraph"/>
        <w:numPr>
          <w:ilvl w:val="1"/>
          <w:numId w:val="3"/>
        </w:numPr>
        <w:rPr>
          <w:rFonts w:eastAsiaTheme="minorEastAsia"/>
          <w:color w:val="000000" w:themeColor="text1"/>
        </w:rPr>
      </w:pPr>
      <w:r w:rsidRPr="00AD7849">
        <w:rPr>
          <w:color w:val="000000" w:themeColor="text1"/>
        </w:rPr>
        <w:t>Apibendrinant pažymėtina, kad Lietuvoje kreditoriui susidūrus su skolos išieškojimo sunkumais dėl skolininko išvykimo į kitą ES valstybę, taikant minėtą ESBĮ, išieškojimas galės būti efektyvesnis. Tačiau net ir pagal ESBĮ išieškoti tam tikras pinigines sumas iš skolininkų gali būti sudėtinga, kadangi skolininkai gali bandyti slėpti savo pajamas. Todėl kreditoriui vertėtų pasvarstyti ir apie kitas teisines priemones išieškoti skolą iš kitoje ES valstybėje gyvenančio skolininko. Viena iš tokių priemonių – toliau aptariamas Europos mokėjimo įsakymas.</w:t>
      </w:r>
    </w:p>
    <w:p w14:paraId="7223C7F7" w14:textId="77777777" w:rsidR="00EF7015" w:rsidRPr="00AD7849" w:rsidRDefault="00EF7015" w:rsidP="00EF7015">
      <w:pPr>
        <w:jc w:val="center"/>
        <w:rPr>
          <w:rFonts w:ascii="Times New Roman" w:eastAsia="Times New Roman" w:hAnsi="Times New Roman" w:cs="Times New Roman"/>
          <w:b/>
          <w:bCs/>
          <w:i/>
          <w:iCs/>
          <w:color w:val="000000" w:themeColor="text1"/>
          <w:sz w:val="24"/>
          <w:szCs w:val="24"/>
          <w:u w:val="single"/>
        </w:rPr>
      </w:pPr>
    </w:p>
    <w:p w14:paraId="61BB47E3" w14:textId="77777777" w:rsidR="00EF7015" w:rsidRPr="00AD7849" w:rsidRDefault="00EF7015" w:rsidP="00EF7015">
      <w:pPr>
        <w:jc w:val="center"/>
        <w:rPr>
          <w:rFonts w:ascii="Times New Roman" w:eastAsia="Times New Roman" w:hAnsi="Times New Roman" w:cs="Times New Roman"/>
          <w:b/>
          <w:bCs/>
          <w:i/>
          <w:iCs/>
          <w:color w:val="000000" w:themeColor="text1"/>
          <w:sz w:val="28"/>
          <w:szCs w:val="28"/>
          <w:u w:val="single"/>
        </w:rPr>
      </w:pPr>
      <w:r w:rsidRPr="00AD7849">
        <w:rPr>
          <w:rFonts w:ascii="Times New Roman" w:eastAsia="Times New Roman" w:hAnsi="Times New Roman" w:cs="Times New Roman"/>
          <w:b/>
          <w:bCs/>
          <w:i/>
          <w:iCs/>
          <w:color w:val="000000" w:themeColor="text1"/>
          <w:sz w:val="28"/>
          <w:szCs w:val="28"/>
          <w:u w:val="single"/>
        </w:rPr>
        <w:t>Skolų išieškojimas pagal Europos mokėjimo įsakymą</w:t>
      </w:r>
    </w:p>
    <w:p w14:paraId="68C1C4BA" w14:textId="77777777" w:rsidR="00EF7015" w:rsidRPr="00AD7849" w:rsidRDefault="00EF7015" w:rsidP="00EF7015">
      <w:pPr>
        <w:jc w:val="center"/>
        <w:rPr>
          <w:rFonts w:ascii="Times New Roman" w:eastAsia="Times New Roman" w:hAnsi="Times New Roman" w:cs="Times New Roman"/>
          <w:b/>
          <w:bCs/>
          <w:i/>
          <w:iCs/>
          <w:color w:val="000000" w:themeColor="text1"/>
          <w:sz w:val="24"/>
          <w:szCs w:val="24"/>
          <w:u w:val="single"/>
        </w:rPr>
      </w:pPr>
    </w:p>
    <w:p w14:paraId="6CA4F7AC" w14:textId="77777777" w:rsidR="00EF7015" w:rsidRPr="00AD7849" w:rsidRDefault="00EF7015" w:rsidP="00EF7015">
      <w:pPr>
        <w:pStyle w:val="ListParagraph"/>
        <w:numPr>
          <w:ilvl w:val="0"/>
          <w:numId w:val="2"/>
        </w:numPr>
        <w:rPr>
          <w:rFonts w:eastAsiaTheme="minorEastAsia"/>
          <w:color w:val="000000" w:themeColor="text1"/>
        </w:rPr>
      </w:pPr>
      <w:r w:rsidRPr="00AD7849">
        <w:rPr>
          <w:color w:val="000000" w:themeColor="text1"/>
        </w:rPr>
        <w:t xml:space="preserve">             Europos mokėjimo įsakymas (toliau – EMĮ) yra supaprastinta procedūra, taikoma tarpvalstybiniams piniginiams reikalavimams, kurių atsakovas neginčija, ir grindžiama standartinėmis formomis. Jo taikymą reglamentuoja 2006-12-12 Europos Parlamento ir Tarybos reglamentas (EB) Nr. 1896/2006, nustatantis Europos mokėjimo įsakymo procedūrą (toliau – EMĮP). EMĮP netaikoma Danijai.</w:t>
      </w:r>
    </w:p>
    <w:p w14:paraId="0FBE751A" w14:textId="77777777" w:rsidR="00EF7015" w:rsidRPr="00AD7849" w:rsidRDefault="00EF7015" w:rsidP="00EF7015">
      <w:pPr>
        <w:pStyle w:val="ListParagraph"/>
        <w:numPr>
          <w:ilvl w:val="0"/>
          <w:numId w:val="2"/>
        </w:numPr>
        <w:rPr>
          <w:rFonts w:eastAsiaTheme="minorEastAsia"/>
          <w:color w:val="000000" w:themeColor="text1"/>
        </w:rPr>
      </w:pPr>
      <w:r w:rsidRPr="00AD7849">
        <w:rPr>
          <w:color w:val="000000" w:themeColor="text1"/>
        </w:rPr>
        <w:t xml:space="preserve">           Procedūra pradedama nuo A formos, kurią pildant skolininko gyvenamosios vietos (buveinės) ar sutarties įvykdymo ES valstybės teismui pateikiama visa informacija apie šalis, nurodomas reikalavimo pobūdis ir reikalaujama suma (EMĮP 7 str. 1-2 d.). Teismas, išnagrinėjęs prašymą ir nustatęs, kad forma užpildyta tinkamai, per 30 dienų turi išduoti EMĮ (EMĮP 12 str. 1 d.). Po to teismas privalo įteikti EMĮ atsakovui. EMĮ atsakovui įteikiamas asmeniškai, paštu ar elektroninėmis priemonėmis, kai atsakovas pasirašo gautą dokumentą ir jį grąžina (EMĮP 13 str.). Minėtas dokumentas gali būti įteikiamas ir kitiems asmenims, kurie gyvena su atsakovu, jo verslo patalpose, įsakymą paliekant atsakovo pašto dėžutėje, jį paliekant pašte arba kompetentingoje valdžios institucijoje ir į atsakovo pašto dėžutę įdedant pranešimą, įteikiant paštu be patvirtinimo, jei atsakovo adresas yra valstybėje, kurioje išduotas EMĮ, ar elektroninėmis priemonėmis, kai automatiškai patvirtinamas pristatymas (EMĮP 14 str. 1 d.).</w:t>
      </w:r>
    </w:p>
    <w:p w14:paraId="189F246A" w14:textId="77777777" w:rsidR="00EF7015" w:rsidRPr="00AD7849" w:rsidRDefault="00EF7015" w:rsidP="00EF7015">
      <w:pPr>
        <w:pStyle w:val="ListParagraph"/>
        <w:numPr>
          <w:ilvl w:val="0"/>
          <w:numId w:val="2"/>
        </w:numPr>
        <w:rPr>
          <w:rFonts w:eastAsiaTheme="minorEastAsia"/>
          <w:color w:val="000000" w:themeColor="text1"/>
        </w:rPr>
      </w:pPr>
      <w:r w:rsidRPr="00AD7849">
        <w:rPr>
          <w:color w:val="000000" w:themeColor="text1"/>
        </w:rPr>
        <w:t xml:space="preserve">            Atsakovas gali arba sumokėti reikalaujamą sumą, arba ją ginčyti. Jis gali per 30 dienų pateikti prieštaravimą dėl EMĮ (EMĮP 16 str. 1-2 d.). Tokiu atveju ieškovas gali pasirinkti vieną iš šių galimybių: arba paprašyti perduoti bylą įprastam civilinių bylų teismui, kad jis bylą nagrinėtų pagal tos šalies nacionalinę teisę, arba paprašyti ją nagrinėti pagal Europos ieškinių dėl nedidelių sumų nagrinėjimo procedūrą, arba paprašyti ją nutraukti (EMĮP 17 str. 1-2 d.).</w:t>
      </w:r>
    </w:p>
    <w:p w14:paraId="2C44B24D" w14:textId="77777777" w:rsidR="00EF7015" w:rsidRPr="00AD7849" w:rsidRDefault="00EF7015" w:rsidP="00EF7015">
      <w:pPr>
        <w:pStyle w:val="ListParagraph"/>
        <w:numPr>
          <w:ilvl w:val="0"/>
          <w:numId w:val="2"/>
        </w:numPr>
        <w:rPr>
          <w:rFonts w:eastAsiaTheme="minorEastAsia"/>
          <w:color w:val="000000" w:themeColor="text1"/>
        </w:rPr>
      </w:pPr>
      <w:r w:rsidRPr="00AD7849">
        <w:rPr>
          <w:color w:val="000000" w:themeColor="text1"/>
        </w:rPr>
        <w:t>Jeigu atsakovas nepateikia prieštaravimo, EMĮ automatiškai tampa vykdytinu. EMĮ išduodantis Teismas nedelsdamas paskelbia EMĮ vykdytinu naudodamas EMĮP pateiktą G standartinę formą (EMĮP 18 str.). EMĮ kopija ir prireikus vertimas turi būti nusiųsti valstybės narės, kurioje jis turi būti vykdomas, teisėsaugos institucijoms. EMĮ vykdomas pagal valstybės narės, kurioje jis turi būti vykdomas, nacionalines taisykles ir procedūras (EMĮP 21 str.).</w:t>
      </w:r>
    </w:p>
    <w:p w14:paraId="62790BDD" w14:textId="77777777" w:rsidR="00EF7015" w:rsidRPr="00AD7849" w:rsidRDefault="00EF7015" w:rsidP="00EF7015">
      <w:pPr>
        <w:pStyle w:val="ListParagraph"/>
        <w:numPr>
          <w:ilvl w:val="0"/>
          <w:numId w:val="2"/>
        </w:numPr>
        <w:rPr>
          <w:rFonts w:eastAsiaTheme="minorEastAsia"/>
          <w:color w:val="000000" w:themeColor="text1"/>
        </w:rPr>
      </w:pPr>
      <w:r w:rsidRPr="00AD7849">
        <w:rPr>
          <w:color w:val="000000" w:themeColor="text1"/>
        </w:rPr>
        <w:t>Svarbu paminėti, kad EMĮ kitose ES valstybėse pripažįstamas ir vykdomas nereikalaujant vykdyti patvirtinimo ir nesuteikiant jokios galimybės prieštarauti jo pripažinimui, t. y. vadinamasis egzekvatūros panaikinimas (EMĮP 19 str.).</w:t>
      </w:r>
    </w:p>
    <w:p w14:paraId="58C8F998" w14:textId="77777777" w:rsidR="00EF7015" w:rsidRPr="00AD7849" w:rsidRDefault="00EF7015" w:rsidP="00EF7015">
      <w:pPr>
        <w:pStyle w:val="ListParagraph"/>
        <w:numPr>
          <w:ilvl w:val="0"/>
          <w:numId w:val="2"/>
        </w:numPr>
        <w:rPr>
          <w:rFonts w:eastAsiaTheme="minorEastAsia"/>
          <w:color w:val="000000" w:themeColor="text1"/>
        </w:rPr>
      </w:pPr>
      <w:r w:rsidRPr="00AD7849">
        <w:rPr>
          <w:color w:val="000000" w:themeColor="text1"/>
        </w:rPr>
        <w:t>Taigi EMĮ yra greita ir paprasta priemonė atgauti skolas iš Lietuvos skolininkų, kurie yra išvykę į kitas ES valstybes. Visgi reiktų nepamiršti, kad EMĮ taikomas neginčijamiems reikalavimams, o skolininkui pateikus prieštaravimus, pagal ieškovo pasirinkimą, byla bus nagrinėjama toliau pagal EMĮ išdavusio teismo nacionalinę teisę arba pagal Europos ieškinių dėl nedidelių sumų nagrinėjimo taisykles.</w:t>
      </w:r>
    </w:p>
    <w:p w14:paraId="311C3408" w14:textId="74DBB19D" w:rsidR="00EF7015" w:rsidRDefault="00EF7015" w:rsidP="00EF7015">
      <w:pPr>
        <w:jc w:val="both"/>
        <w:rPr>
          <w:rFonts w:ascii="Times New Roman" w:eastAsia="Times New Roman" w:hAnsi="Times New Roman" w:cs="Times New Roman"/>
          <w:color w:val="000000" w:themeColor="text1"/>
          <w:sz w:val="24"/>
          <w:szCs w:val="24"/>
        </w:rPr>
      </w:pPr>
      <w:r w:rsidRPr="00AD7849">
        <w:rPr>
          <w:rFonts w:ascii="Times New Roman" w:eastAsia="Times New Roman" w:hAnsi="Times New Roman" w:cs="Times New Roman"/>
          <w:color w:val="000000" w:themeColor="text1"/>
          <w:sz w:val="24"/>
          <w:szCs w:val="24"/>
        </w:rPr>
        <w:t xml:space="preserve"> </w:t>
      </w:r>
    </w:p>
    <w:p w14:paraId="2B39DB0F" w14:textId="65958E36" w:rsidR="00824998" w:rsidRDefault="00824998" w:rsidP="00EF7015">
      <w:pPr>
        <w:jc w:val="both"/>
        <w:rPr>
          <w:rFonts w:ascii="Times New Roman" w:eastAsia="Times New Roman" w:hAnsi="Times New Roman" w:cs="Times New Roman"/>
          <w:color w:val="000000" w:themeColor="text1"/>
          <w:sz w:val="24"/>
          <w:szCs w:val="24"/>
        </w:rPr>
      </w:pPr>
    </w:p>
    <w:p w14:paraId="357D9D90" w14:textId="77777777" w:rsidR="00824998" w:rsidRPr="00AD7849" w:rsidRDefault="00824998" w:rsidP="00EF7015">
      <w:pPr>
        <w:jc w:val="both"/>
        <w:rPr>
          <w:rFonts w:ascii="Times New Roman" w:eastAsia="Times New Roman" w:hAnsi="Times New Roman" w:cs="Times New Roman"/>
          <w:color w:val="000000" w:themeColor="text1"/>
          <w:sz w:val="28"/>
          <w:szCs w:val="28"/>
        </w:rPr>
      </w:pPr>
    </w:p>
    <w:p w14:paraId="2204DB65" w14:textId="77777777" w:rsidR="00EF7015" w:rsidRPr="00AD7849" w:rsidRDefault="00EF7015" w:rsidP="00EF7015">
      <w:pPr>
        <w:jc w:val="center"/>
        <w:rPr>
          <w:rFonts w:ascii="Times New Roman" w:eastAsia="Times New Roman" w:hAnsi="Times New Roman" w:cs="Times New Roman"/>
          <w:b/>
          <w:bCs/>
          <w:i/>
          <w:iCs/>
          <w:color w:val="000000" w:themeColor="text1"/>
          <w:sz w:val="28"/>
          <w:szCs w:val="28"/>
          <w:u w:val="single"/>
        </w:rPr>
      </w:pPr>
      <w:r w:rsidRPr="00AD7849">
        <w:rPr>
          <w:rFonts w:ascii="Times New Roman" w:eastAsia="Times New Roman" w:hAnsi="Times New Roman" w:cs="Times New Roman"/>
          <w:b/>
          <w:bCs/>
          <w:i/>
          <w:iCs/>
          <w:color w:val="000000" w:themeColor="text1"/>
          <w:sz w:val="28"/>
          <w:szCs w:val="28"/>
          <w:u w:val="single"/>
        </w:rPr>
        <w:lastRenderedPageBreak/>
        <w:t>Skolų išieškojimas pagal Europos vykdomąjį raštą</w:t>
      </w:r>
    </w:p>
    <w:p w14:paraId="2F6165EB" w14:textId="77777777" w:rsidR="00EF7015" w:rsidRPr="00AD7849" w:rsidRDefault="00EF7015" w:rsidP="00EF7015">
      <w:pPr>
        <w:jc w:val="center"/>
        <w:rPr>
          <w:rFonts w:ascii="Times New Roman" w:eastAsia="Times New Roman" w:hAnsi="Times New Roman" w:cs="Times New Roman"/>
          <w:b/>
          <w:bCs/>
          <w:i/>
          <w:iCs/>
          <w:color w:val="000000" w:themeColor="text1"/>
          <w:sz w:val="24"/>
          <w:szCs w:val="24"/>
          <w:u w:val="single"/>
        </w:rPr>
      </w:pPr>
    </w:p>
    <w:p w14:paraId="468FB300" w14:textId="77777777" w:rsidR="00EF7015" w:rsidRPr="00AD7849" w:rsidRDefault="00EF7015" w:rsidP="00EF7015">
      <w:pPr>
        <w:pStyle w:val="ListParagraph"/>
        <w:numPr>
          <w:ilvl w:val="0"/>
          <w:numId w:val="1"/>
        </w:numPr>
        <w:rPr>
          <w:rFonts w:eastAsiaTheme="minorEastAsia"/>
          <w:color w:val="000000" w:themeColor="text1"/>
        </w:rPr>
      </w:pPr>
      <w:r w:rsidRPr="00AD7849">
        <w:rPr>
          <w:color w:val="000000" w:themeColor="text1"/>
        </w:rPr>
        <w:t>Europos vykdomasis raštas (EVR) – tai paprasta procedūra, kuri gali būti taikoma neginčytiniems tarpvalstybiniams reikalavimams. Ši procedūra leidžia vienoje ES valstybėje paskelbtą teismo sprendimą dėl neginčytino reikalavimo lengvai pripažinti ir vykdyti kitoje ES valstybėje. EVR taikymą reglamentuoja 2004 m. balandžio 21 d. Europos Parlamento ir Tarybos reglamentas (EB) Nr. 805/2004, sukuriantis neginčytinų reikalavimų Europos vykdomąjį raštą (toliau – Reglamentas). Reglamentas netaikomas Danijai.</w:t>
      </w:r>
    </w:p>
    <w:p w14:paraId="11D2DD8C" w14:textId="77777777" w:rsidR="00EF7015" w:rsidRPr="00AD7849" w:rsidRDefault="00EF7015" w:rsidP="00EF7015">
      <w:pPr>
        <w:pStyle w:val="ListParagraph"/>
        <w:numPr>
          <w:ilvl w:val="0"/>
          <w:numId w:val="1"/>
        </w:numPr>
        <w:rPr>
          <w:rFonts w:eastAsiaTheme="minorEastAsia"/>
          <w:color w:val="000000" w:themeColor="text1"/>
        </w:rPr>
      </w:pPr>
      <w:r w:rsidRPr="00AD7849">
        <w:rPr>
          <w:color w:val="000000" w:themeColor="text1"/>
        </w:rPr>
        <w:t>Norėdamas gauti vykdomąjį raštą, kreditorius:</w:t>
      </w:r>
    </w:p>
    <w:p w14:paraId="6189EF77" w14:textId="77777777" w:rsidR="00EF7015" w:rsidRPr="00AD7849" w:rsidRDefault="00EF7015" w:rsidP="00EF7015">
      <w:pPr>
        <w:pStyle w:val="ListParagraph"/>
        <w:numPr>
          <w:ilvl w:val="1"/>
          <w:numId w:val="1"/>
        </w:numPr>
        <w:rPr>
          <w:rFonts w:eastAsiaTheme="minorEastAsia"/>
          <w:color w:val="000000" w:themeColor="text1"/>
        </w:rPr>
      </w:pPr>
      <w:r w:rsidRPr="00AD7849">
        <w:rPr>
          <w:color w:val="000000" w:themeColor="text1"/>
        </w:rPr>
        <w:t>kreipiasi į skolininko gyvenamosios vietos (buveinės) ar sutarties įvykdymo ES valstybės teismą dėl sprendimo dėl neginčytino reikalavimo, teisminio susitarimo ar autentiško dokumento pripažinimo EVR;</w:t>
      </w:r>
    </w:p>
    <w:p w14:paraId="03B49D7F" w14:textId="77777777" w:rsidR="00EF7015" w:rsidRPr="00AD7849" w:rsidRDefault="00EF7015" w:rsidP="00EF7015">
      <w:pPr>
        <w:pStyle w:val="ListParagraph"/>
        <w:numPr>
          <w:ilvl w:val="1"/>
          <w:numId w:val="1"/>
        </w:numPr>
        <w:rPr>
          <w:rFonts w:eastAsiaTheme="minorEastAsia"/>
          <w:color w:val="000000" w:themeColor="text1"/>
        </w:rPr>
      </w:pPr>
      <w:r w:rsidRPr="00AD7849">
        <w:rPr>
          <w:color w:val="000000" w:themeColor="text1"/>
        </w:rPr>
        <w:t>naudodamas standartinę formą ir jei įvykdytos Reglamente nurodytos sąlygos, teismas kreditoriui išduoda EVR pažymėjimą. Reikalavimai, kad dokumentas būtų pripažintas EVR:</w:t>
      </w:r>
    </w:p>
    <w:p w14:paraId="430ACEE1" w14:textId="77777777" w:rsidR="00EF7015" w:rsidRPr="00AD7849" w:rsidRDefault="00EF7015" w:rsidP="00EF7015">
      <w:pPr>
        <w:pStyle w:val="ListParagraph"/>
        <w:numPr>
          <w:ilvl w:val="2"/>
          <w:numId w:val="1"/>
        </w:numPr>
        <w:rPr>
          <w:rFonts w:eastAsiaTheme="minorEastAsia"/>
          <w:color w:val="000000" w:themeColor="text1"/>
        </w:rPr>
      </w:pPr>
      <w:r w:rsidRPr="00AD7849">
        <w:rPr>
          <w:color w:val="000000" w:themeColor="text1"/>
        </w:rPr>
        <w:t>dokumento dėl bylos iškėlimo ar kvietimo į teismo posėdį skolininkui įteikimas (Reglamento 13-15 str.);</w:t>
      </w:r>
    </w:p>
    <w:p w14:paraId="10AF5AFE" w14:textId="77777777" w:rsidR="00EF7015" w:rsidRPr="00AD7849" w:rsidRDefault="00EF7015" w:rsidP="00EF7015">
      <w:pPr>
        <w:pStyle w:val="ListParagraph"/>
        <w:numPr>
          <w:ilvl w:val="2"/>
          <w:numId w:val="1"/>
        </w:numPr>
        <w:rPr>
          <w:rFonts w:eastAsiaTheme="minorEastAsia"/>
          <w:color w:val="000000" w:themeColor="text1"/>
        </w:rPr>
      </w:pPr>
      <w:r w:rsidRPr="00AD7849">
        <w:rPr>
          <w:color w:val="000000" w:themeColor="text1"/>
        </w:rPr>
        <w:t>privalomas skolininko informavimas (Reglamento 16-17 str.);</w:t>
      </w:r>
    </w:p>
    <w:p w14:paraId="3242802A" w14:textId="77777777" w:rsidR="00EF7015" w:rsidRPr="00AD7849" w:rsidRDefault="00EF7015" w:rsidP="00EF7015">
      <w:pPr>
        <w:pStyle w:val="ListParagraph"/>
        <w:numPr>
          <w:ilvl w:val="2"/>
          <w:numId w:val="1"/>
        </w:numPr>
        <w:rPr>
          <w:rFonts w:eastAsiaTheme="minorEastAsia"/>
          <w:color w:val="000000" w:themeColor="text1"/>
        </w:rPr>
      </w:pPr>
      <w:r w:rsidRPr="00AD7849">
        <w:rPr>
          <w:color w:val="000000" w:themeColor="text1"/>
        </w:rPr>
        <w:t>teismo sprendimo peržiūros išimtiniais atvejais reikalavimo užtikrinimas. Sprendimą paskelbęs teismas, privalo pasiūlyti skolininkui kreiptis su prašymu peržiūrėti sprendimą, kai bylos iškėlimo ar lygiavertis dokumentas arba šaukimas į teismo posėdį buvo įteiktas be skolininko patvirtinimo apie jo gavimą ir ne dėl skolininko kaltės dokumentas buvo įteiktas netinkamu laiku, nesuteikiant jam galimybės pasiruošti gynybai; užginčyti reikalavimą skolininkui sutrukdė force majeure (nenugalimos jėgos) arba nepaprastosios aplinkybės, susidariusios ne dėl jo kaltės (Reglamento 19 str.).</w:t>
      </w:r>
    </w:p>
    <w:p w14:paraId="3C3BA672" w14:textId="77777777" w:rsidR="00EF7015" w:rsidRPr="00AD7849" w:rsidRDefault="00EF7015" w:rsidP="00EF7015">
      <w:pPr>
        <w:pStyle w:val="ListParagraph"/>
        <w:numPr>
          <w:ilvl w:val="1"/>
          <w:numId w:val="1"/>
        </w:numPr>
        <w:rPr>
          <w:rFonts w:eastAsiaTheme="minorEastAsia"/>
          <w:color w:val="000000" w:themeColor="text1"/>
        </w:rPr>
      </w:pPr>
      <w:r w:rsidRPr="00AD7849">
        <w:rPr>
          <w:color w:val="000000" w:themeColor="text1"/>
        </w:rPr>
        <w:t>kreditorius kompetentingoms ES valstybės vykdančiosioms institucijoms pateikia:</w:t>
      </w:r>
    </w:p>
    <w:p w14:paraId="576D3F6D" w14:textId="77777777" w:rsidR="00EF7015" w:rsidRPr="00AD7849" w:rsidRDefault="00EF7015" w:rsidP="00EF7015">
      <w:pPr>
        <w:pStyle w:val="ListParagraph"/>
        <w:numPr>
          <w:ilvl w:val="2"/>
          <w:numId w:val="1"/>
        </w:numPr>
        <w:rPr>
          <w:rFonts w:eastAsiaTheme="minorEastAsia"/>
          <w:color w:val="000000" w:themeColor="text1"/>
        </w:rPr>
      </w:pPr>
      <w:r w:rsidRPr="00AD7849">
        <w:rPr>
          <w:color w:val="000000" w:themeColor="text1"/>
        </w:rPr>
        <w:t>sprendimo, teisminio susitarimo ar autentiško dokumento kopiją (Reglamento 20 str. 2 d. a) punktas);</w:t>
      </w:r>
    </w:p>
    <w:p w14:paraId="1527148A" w14:textId="77777777" w:rsidR="00EF7015" w:rsidRPr="00AD7849" w:rsidRDefault="00EF7015" w:rsidP="00EF7015">
      <w:pPr>
        <w:pStyle w:val="ListParagraph"/>
        <w:numPr>
          <w:ilvl w:val="2"/>
          <w:numId w:val="1"/>
        </w:numPr>
        <w:rPr>
          <w:rFonts w:eastAsiaTheme="minorEastAsia"/>
          <w:color w:val="000000" w:themeColor="text1"/>
        </w:rPr>
      </w:pPr>
      <w:r w:rsidRPr="00AD7849">
        <w:rPr>
          <w:color w:val="000000" w:themeColor="text1"/>
        </w:rPr>
        <w:t>EVR pažymėjimo kopiją (Reglamento 20 str. 2 d. b) punktas);</w:t>
      </w:r>
    </w:p>
    <w:p w14:paraId="174BA0BE" w14:textId="77777777" w:rsidR="00EF7015" w:rsidRPr="00AD7849" w:rsidRDefault="00EF7015" w:rsidP="00EF7015">
      <w:pPr>
        <w:pStyle w:val="ListParagraph"/>
        <w:numPr>
          <w:ilvl w:val="2"/>
          <w:numId w:val="1"/>
        </w:numPr>
        <w:rPr>
          <w:rFonts w:eastAsiaTheme="minorEastAsia"/>
          <w:color w:val="000000" w:themeColor="text1"/>
        </w:rPr>
      </w:pPr>
      <w:r w:rsidRPr="00AD7849">
        <w:rPr>
          <w:color w:val="000000" w:themeColor="text1"/>
        </w:rPr>
        <w:t>jei reikia, EVR pažymėjimo nuorašą arba vertimą (Reglamento 20 str. 2 d. c) punktas).</w:t>
      </w:r>
    </w:p>
    <w:p w14:paraId="4B624BC0" w14:textId="77777777" w:rsidR="00EF7015" w:rsidRPr="00AD7849" w:rsidRDefault="00EF7015" w:rsidP="00EF7015">
      <w:pPr>
        <w:pStyle w:val="ListParagraph"/>
        <w:numPr>
          <w:ilvl w:val="0"/>
          <w:numId w:val="1"/>
        </w:numPr>
        <w:rPr>
          <w:rFonts w:eastAsiaTheme="minorEastAsia"/>
          <w:color w:val="000000" w:themeColor="text1"/>
        </w:rPr>
      </w:pPr>
      <w:r w:rsidRPr="00AD7849">
        <w:rPr>
          <w:color w:val="000000" w:themeColor="text1"/>
        </w:rPr>
        <w:t>Vykdymo procedūros atliekamos vadovaujantis ES valstybės, kurioje vykdomas teismo sprendimas, teisės aktais (Reglamento 20 str. 1 d.).</w:t>
      </w:r>
    </w:p>
    <w:p w14:paraId="1500DD78" w14:textId="77777777" w:rsidR="00EF7015" w:rsidRPr="00AD7849" w:rsidRDefault="00EF7015" w:rsidP="00EF7015">
      <w:pPr>
        <w:jc w:val="both"/>
      </w:pPr>
      <w:r w:rsidRPr="00AD7849">
        <w:rPr>
          <w:rFonts w:ascii="Times New Roman" w:eastAsia="Times New Roman" w:hAnsi="Times New Roman" w:cs="Times New Roman"/>
          <w:sz w:val="24"/>
          <w:szCs w:val="24"/>
        </w:rPr>
        <w:t xml:space="preserve"> </w:t>
      </w:r>
    </w:p>
    <w:p w14:paraId="5D3CFA77" w14:textId="77777777" w:rsidR="00EF7015" w:rsidRPr="00AD7849" w:rsidRDefault="00EF7015" w:rsidP="00EF7015">
      <w:pPr>
        <w:jc w:val="both"/>
      </w:pPr>
      <w:r w:rsidRPr="00AD7849">
        <w:rPr>
          <w:rFonts w:ascii="Times New Roman" w:eastAsia="Times New Roman" w:hAnsi="Times New Roman" w:cs="Times New Roman"/>
          <w:sz w:val="24"/>
          <w:szCs w:val="24"/>
        </w:rPr>
        <w:t xml:space="preserve"> </w:t>
      </w:r>
    </w:p>
    <w:p w14:paraId="07619814" w14:textId="77777777" w:rsidR="00EF7015" w:rsidRPr="00AD7849" w:rsidRDefault="00EF7015" w:rsidP="00EF7015">
      <w:pPr>
        <w:jc w:val="both"/>
      </w:pPr>
      <w:r w:rsidRPr="00AD7849">
        <w:rPr>
          <w:rFonts w:ascii="Times New Roman" w:eastAsia="Times New Roman" w:hAnsi="Times New Roman" w:cs="Times New Roman"/>
          <w:sz w:val="24"/>
          <w:szCs w:val="24"/>
        </w:rPr>
        <w:t xml:space="preserve"> </w:t>
      </w:r>
    </w:p>
    <w:p w14:paraId="3282B138" w14:textId="77777777" w:rsidR="00824998" w:rsidRDefault="00824998" w:rsidP="00EF7015">
      <w:pPr>
        <w:jc w:val="center"/>
        <w:rPr>
          <w:rFonts w:ascii="Times New Roman" w:eastAsia="Times New Roman" w:hAnsi="Times New Roman" w:cs="Times New Roman"/>
          <w:b/>
          <w:bCs/>
          <w:color w:val="000000" w:themeColor="text1"/>
          <w:sz w:val="28"/>
          <w:szCs w:val="28"/>
        </w:rPr>
      </w:pPr>
    </w:p>
    <w:p w14:paraId="4CFBBF3D" w14:textId="77777777" w:rsidR="00824998" w:rsidRDefault="00824998" w:rsidP="00EF7015">
      <w:pPr>
        <w:jc w:val="center"/>
        <w:rPr>
          <w:rFonts w:ascii="Times New Roman" w:eastAsia="Times New Roman" w:hAnsi="Times New Roman" w:cs="Times New Roman"/>
          <w:b/>
          <w:bCs/>
          <w:color w:val="000000" w:themeColor="text1"/>
          <w:sz w:val="28"/>
          <w:szCs w:val="28"/>
        </w:rPr>
      </w:pPr>
    </w:p>
    <w:p w14:paraId="4613D982" w14:textId="5AD58929" w:rsidR="00EF7015" w:rsidRPr="00AD7849" w:rsidRDefault="00EF7015" w:rsidP="00EF7015">
      <w:pPr>
        <w:jc w:val="center"/>
        <w:rPr>
          <w:rFonts w:ascii="Times New Roman" w:eastAsia="Times New Roman" w:hAnsi="Times New Roman" w:cs="Times New Roman"/>
          <w:b/>
          <w:bCs/>
          <w:color w:val="000000" w:themeColor="text1"/>
          <w:sz w:val="28"/>
          <w:szCs w:val="28"/>
        </w:rPr>
      </w:pPr>
      <w:r w:rsidRPr="00AD7849">
        <w:rPr>
          <w:rFonts w:ascii="Times New Roman" w:eastAsia="Times New Roman" w:hAnsi="Times New Roman" w:cs="Times New Roman"/>
          <w:b/>
          <w:bCs/>
          <w:color w:val="000000" w:themeColor="text1"/>
          <w:sz w:val="28"/>
          <w:szCs w:val="28"/>
        </w:rPr>
        <w:lastRenderedPageBreak/>
        <w:t xml:space="preserve"> Išvados</w:t>
      </w:r>
    </w:p>
    <w:p w14:paraId="028C2A72" w14:textId="77777777" w:rsidR="00EF7015" w:rsidRPr="00AD7849" w:rsidRDefault="00EF7015" w:rsidP="00EF7015">
      <w:pPr>
        <w:jc w:val="center"/>
        <w:rPr>
          <w:rFonts w:ascii="Times New Roman" w:eastAsia="Times New Roman" w:hAnsi="Times New Roman" w:cs="Times New Roman"/>
          <w:b/>
          <w:bCs/>
          <w:color w:val="000000" w:themeColor="text1"/>
          <w:sz w:val="24"/>
          <w:szCs w:val="24"/>
        </w:rPr>
      </w:pPr>
    </w:p>
    <w:p w14:paraId="5644FF33" w14:textId="77777777" w:rsidR="00EF7015" w:rsidRPr="00AD7849" w:rsidRDefault="00EF7015" w:rsidP="00EF7015">
      <w:pPr>
        <w:jc w:val="both"/>
      </w:pPr>
      <w:r w:rsidRPr="00AD7849">
        <w:rPr>
          <w:rFonts w:ascii="Times New Roman" w:eastAsia="Times New Roman" w:hAnsi="Times New Roman" w:cs="Times New Roman"/>
          <w:color w:val="000000" w:themeColor="text1"/>
          <w:sz w:val="24"/>
          <w:szCs w:val="24"/>
        </w:rPr>
        <w:t>1</w:t>
      </w:r>
      <w:r w:rsidRPr="00AD7849">
        <w:rPr>
          <w:rFonts w:ascii="Times New Roman" w:eastAsia="Times New Roman" w:hAnsi="Times New Roman" w:cs="Times New Roman"/>
          <w:i/>
          <w:iCs/>
          <w:color w:val="000000" w:themeColor="text1"/>
          <w:sz w:val="24"/>
          <w:szCs w:val="24"/>
        </w:rPr>
        <w:t>.     Taigi jei skolininko skola susidarė Lietuvoje, kreditorius gali kreiptis išduoti EVR į atitinkamą Lietuvos teismą. Gavęs EVR, kreditorius ES valstybės, į kurią yra išvykęs skolininkas, kompetentingoms vykdančiosioms institucijoms pateikia EVR, teismo sprendimo kopiją ir, jei reikalinga, dokumentų vertimus.</w:t>
      </w:r>
    </w:p>
    <w:p w14:paraId="2FFF32AE" w14:textId="77777777" w:rsidR="00EF7015" w:rsidRPr="00AD7849" w:rsidRDefault="00EF7015" w:rsidP="00EF7015">
      <w:pPr>
        <w:jc w:val="both"/>
      </w:pPr>
      <w:r w:rsidRPr="00AD7849">
        <w:rPr>
          <w:rFonts w:ascii="Times New Roman" w:eastAsia="Times New Roman" w:hAnsi="Times New Roman" w:cs="Times New Roman"/>
          <w:i/>
          <w:iCs/>
          <w:color w:val="000000" w:themeColor="text1"/>
          <w:sz w:val="24"/>
          <w:szCs w:val="24"/>
        </w:rPr>
        <w:t xml:space="preserve">2.     Tam, kad EVR būtų efektyvi ir veiksminga priemonė skolos išieškojimui, kreditorius turi žinoti, į kurią ES valstybę yra išvykęs skolininkas ir jo tikslią gyvenamąją vietą toje ES valstybėje. Priešingu atveju, gali kilti sunkumų skolininkui įteikiant dokumentus. Tuo atveju, jei kreditorius žino ar bent numano, kurioje ES valstybėje gali būti skolininkas, kreditorius gali pateikti ES valstybės, kurioje turi būti vykdomas teismo sprendimas, gyventojų registrą tvarkančioms institucijoms prašymą dėl skolininko gyvenamosios vietos nustatymo. Kreditorius taip pat turi pridėti EVR ir kitus dokumentus, kad tinkamai pagrįstų savo prašymą. </w:t>
      </w:r>
    </w:p>
    <w:p w14:paraId="6C47FDF2" w14:textId="77777777" w:rsidR="00EF7015" w:rsidRPr="00AD7849" w:rsidRDefault="00EF7015" w:rsidP="00EF7015">
      <w:pPr>
        <w:jc w:val="both"/>
        <w:rPr>
          <w:rFonts w:ascii="Times New Roman" w:eastAsia="Times New Roman" w:hAnsi="Times New Roman" w:cs="Times New Roman"/>
          <w:i/>
          <w:iCs/>
          <w:color w:val="000000" w:themeColor="text1"/>
          <w:sz w:val="24"/>
          <w:szCs w:val="24"/>
        </w:rPr>
      </w:pPr>
      <w:r w:rsidRPr="00AD7849">
        <w:rPr>
          <w:rFonts w:ascii="Times New Roman" w:eastAsia="Times New Roman" w:hAnsi="Times New Roman" w:cs="Times New Roman"/>
          <w:i/>
          <w:iCs/>
          <w:color w:val="000000" w:themeColor="text1"/>
          <w:sz w:val="24"/>
          <w:szCs w:val="24"/>
        </w:rPr>
        <w:t>3.       Darytina išvada, kad išieškojimo procedūra ES ar trečiosiose valstybėje– brangi ir reikalauja papildomai žmogiškųjų resursų. Kiekvienu atveju tikslinga susiskaičiuoti kaštus</w:t>
      </w:r>
      <w:r>
        <w:rPr>
          <w:rFonts w:ascii="Times New Roman" w:eastAsia="Times New Roman" w:hAnsi="Times New Roman" w:cs="Times New Roman"/>
          <w:i/>
          <w:iCs/>
          <w:color w:val="000000" w:themeColor="text1"/>
          <w:sz w:val="24"/>
          <w:szCs w:val="24"/>
        </w:rPr>
        <w:t>,</w:t>
      </w:r>
      <w:r w:rsidRPr="00AD7849">
        <w:rPr>
          <w:rFonts w:ascii="Times New Roman" w:eastAsia="Times New Roman" w:hAnsi="Times New Roman" w:cs="Times New Roman"/>
          <w:i/>
          <w:iCs/>
          <w:color w:val="000000" w:themeColor="text1"/>
          <w:sz w:val="24"/>
          <w:szCs w:val="24"/>
        </w:rPr>
        <w:t xml:space="preserve"> skirtus skolų paieškoms ir spręsti individualiai kiekvienam CŠT. </w:t>
      </w:r>
    </w:p>
    <w:p w14:paraId="20E62AB9" w14:textId="77777777" w:rsidR="00EF7015" w:rsidRPr="00AD7849" w:rsidRDefault="00EF7015" w:rsidP="00EF7015">
      <w:pPr>
        <w:jc w:val="both"/>
      </w:pPr>
      <w:r w:rsidRPr="00AD7849">
        <w:rPr>
          <w:rFonts w:ascii="Times New Roman" w:eastAsia="Times New Roman" w:hAnsi="Times New Roman" w:cs="Times New Roman"/>
          <w:i/>
          <w:iCs/>
          <w:color w:val="000000" w:themeColor="text1"/>
          <w:sz w:val="24"/>
          <w:szCs w:val="24"/>
        </w:rPr>
        <w:t>4.      Asmeniui išvykus ne į ES valstybę nar</w:t>
      </w:r>
      <w:r>
        <w:rPr>
          <w:rFonts w:ascii="Times New Roman" w:eastAsia="Times New Roman" w:hAnsi="Times New Roman" w:cs="Times New Roman"/>
          <w:i/>
          <w:iCs/>
          <w:color w:val="000000" w:themeColor="text1"/>
          <w:sz w:val="24"/>
          <w:szCs w:val="24"/>
        </w:rPr>
        <w:t>ę</w:t>
      </w:r>
      <w:r w:rsidRPr="00AD7849">
        <w:rPr>
          <w:rFonts w:ascii="Times New Roman" w:eastAsia="Times New Roman" w:hAnsi="Times New Roman" w:cs="Times New Roman"/>
          <w:i/>
          <w:iCs/>
          <w:color w:val="000000" w:themeColor="text1"/>
          <w:sz w:val="24"/>
          <w:szCs w:val="24"/>
        </w:rPr>
        <w:t>, pirmiausia reikia tikrinti</w:t>
      </w:r>
      <w:r>
        <w:rPr>
          <w:rFonts w:ascii="Times New Roman" w:eastAsia="Times New Roman" w:hAnsi="Times New Roman" w:cs="Times New Roman"/>
          <w:i/>
          <w:iCs/>
          <w:color w:val="000000" w:themeColor="text1"/>
          <w:sz w:val="24"/>
          <w:szCs w:val="24"/>
        </w:rPr>
        <w:t>,</w:t>
      </w:r>
      <w:r w:rsidRPr="00AD7849">
        <w:rPr>
          <w:rFonts w:ascii="Times New Roman" w:eastAsia="Times New Roman" w:hAnsi="Times New Roman" w:cs="Times New Roman"/>
          <w:i/>
          <w:iCs/>
          <w:color w:val="000000" w:themeColor="text1"/>
          <w:sz w:val="24"/>
          <w:szCs w:val="24"/>
        </w:rPr>
        <w:t xml:space="preserve"> ar Lietuva sudariusi dvišalę teisinės pagalbos sutartį, kadangi</w:t>
      </w:r>
      <w:r>
        <w:rPr>
          <w:rFonts w:ascii="Times New Roman" w:eastAsia="Times New Roman" w:hAnsi="Times New Roman" w:cs="Times New Roman"/>
          <w:i/>
          <w:iCs/>
          <w:color w:val="000000" w:themeColor="text1"/>
          <w:sz w:val="24"/>
          <w:szCs w:val="24"/>
        </w:rPr>
        <w:t>,</w:t>
      </w:r>
      <w:r w:rsidRPr="00AD7849">
        <w:rPr>
          <w:rFonts w:ascii="Times New Roman" w:eastAsia="Times New Roman" w:hAnsi="Times New Roman" w:cs="Times New Roman"/>
          <w:i/>
          <w:iCs/>
          <w:color w:val="000000" w:themeColor="text1"/>
          <w:sz w:val="24"/>
          <w:szCs w:val="24"/>
        </w:rPr>
        <w:t xml:space="preserve"> nesant sutarties, skolos išieškojimas tampa negalim</w:t>
      </w:r>
      <w:r>
        <w:rPr>
          <w:rFonts w:ascii="Times New Roman" w:eastAsia="Times New Roman" w:hAnsi="Times New Roman" w:cs="Times New Roman"/>
          <w:i/>
          <w:iCs/>
          <w:color w:val="000000" w:themeColor="text1"/>
          <w:sz w:val="24"/>
          <w:szCs w:val="24"/>
        </w:rPr>
        <w:t>as</w:t>
      </w:r>
      <w:r w:rsidRPr="00AD7849">
        <w:rPr>
          <w:rFonts w:ascii="Times New Roman" w:eastAsia="Times New Roman" w:hAnsi="Times New Roman" w:cs="Times New Roman"/>
          <w:i/>
          <w:iCs/>
          <w:color w:val="000000" w:themeColor="text1"/>
          <w:sz w:val="24"/>
          <w:szCs w:val="24"/>
        </w:rPr>
        <w:t xml:space="preserve">. </w:t>
      </w:r>
    </w:p>
    <w:p w14:paraId="4148DEC2" w14:textId="77777777" w:rsidR="00517050" w:rsidRDefault="00517050"/>
    <w:sectPr w:rsidR="00517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7682E"/>
    <w:multiLevelType w:val="hybridMultilevel"/>
    <w:tmpl w:val="1A48C3A8"/>
    <w:lvl w:ilvl="0" w:tplc="6C46567A">
      <w:start w:val="1"/>
      <w:numFmt w:val="decimal"/>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CC099F"/>
    <w:multiLevelType w:val="hybridMultilevel"/>
    <w:tmpl w:val="90EAF684"/>
    <w:lvl w:ilvl="0" w:tplc="B89842BC">
      <w:start w:val="1"/>
      <w:numFmt w:val="bullet"/>
      <w:lvlText w:val="v"/>
      <w:lvlJc w:val="left"/>
      <w:pPr>
        <w:ind w:left="720" w:hanging="360"/>
      </w:pPr>
      <w:rPr>
        <w:rFonts w:ascii="Wingdings" w:hAnsi="Wingdings" w:hint="default"/>
      </w:rPr>
    </w:lvl>
    <w:lvl w:ilvl="1" w:tplc="B1B2ACC6">
      <w:start w:val="1"/>
      <w:numFmt w:val="bullet"/>
      <w:lvlText w:val="o"/>
      <w:lvlJc w:val="left"/>
      <w:pPr>
        <w:ind w:left="1440" w:hanging="360"/>
      </w:pPr>
      <w:rPr>
        <w:rFonts w:ascii="Courier New" w:hAnsi="Courier New" w:hint="default"/>
      </w:rPr>
    </w:lvl>
    <w:lvl w:ilvl="2" w:tplc="D1C64A64">
      <w:start w:val="1"/>
      <w:numFmt w:val="bullet"/>
      <w:lvlText w:val=""/>
      <w:lvlJc w:val="left"/>
      <w:pPr>
        <w:ind w:left="2160" w:hanging="360"/>
      </w:pPr>
      <w:rPr>
        <w:rFonts w:ascii="Wingdings" w:hAnsi="Wingdings" w:hint="default"/>
      </w:rPr>
    </w:lvl>
    <w:lvl w:ilvl="3" w:tplc="6836768A">
      <w:start w:val="1"/>
      <w:numFmt w:val="bullet"/>
      <w:lvlText w:val=""/>
      <w:lvlJc w:val="left"/>
      <w:pPr>
        <w:ind w:left="2880" w:hanging="360"/>
      </w:pPr>
      <w:rPr>
        <w:rFonts w:ascii="Symbol" w:hAnsi="Symbol" w:hint="default"/>
      </w:rPr>
    </w:lvl>
    <w:lvl w:ilvl="4" w:tplc="E7844A0A">
      <w:start w:val="1"/>
      <w:numFmt w:val="bullet"/>
      <w:lvlText w:val="o"/>
      <w:lvlJc w:val="left"/>
      <w:pPr>
        <w:ind w:left="3600" w:hanging="360"/>
      </w:pPr>
      <w:rPr>
        <w:rFonts w:ascii="Courier New" w:hAnsi="Courier New" w:hint="default"/>
      </w:rPr>
    </w:lvl>
    <w:lvl w:ilvl="5" w:tplc="B314887A">
      <w:start w:val="1"/>
      <w:numFmt w:val="bullet"/>
      <w:lvlText w:val=""/>
      <w:lvlJc w:val="left"/>
      <w:pPr>
        <w:ind w:left="4320" w:hanging="360"/>
      </w:pPr>
      <w:rPr>
        <w:rFonts w:ascii="Wingdings" w:hAnsi="Wingdings" w:hint="default"/>
      </w:rPr>
    </w:lvl>
    <w:lvl w:ilvl="6" w:tplc="2CC62B6C">
      <w:start w:val="1"/>
      <w:numFmt w:val="bullet"/>
      <w:lvlText w:val=""/>
      <w:lvlJc w:val="left"/>
      <w:pPr>
        <w:ind w:left="5040" w:hanging="360"/>
      </w:pPr>
      <w:rPr>
        <w:rFonts w:ascii="Symbol" w:hAnsi="Symbol" w:hint="default"/>
      </w:rPr>
    </w:lvl>
    <w:lvl w:ilvl="7" w:tplc="53AAFCBA">
      <w:start w:val="1"/>
      <w:numFmt w:val="bullet"/>
      <w:lvlText w:val="o"/>
      <w:lvlJc w:val="left"/>
      <w:pPr>
        <w:ind w:left="5760" w:hanging="360"/>
      </w:pPr>
      <w:rPr>
        <w:rFonts w:ascii="Courier New" w:hAnsi="Courier New" w:hint="default"/>
      </w:rPr>
    </w:lvl>
    <w:lvl w:ilvl="8" w:tplc="15188264">
      <w:start w:val="1"/>
      <w:numFmt w:val="bullet"/>
      <w:lvlText w:val=""/>
      <w:lvlJc w:val="left"/>
      <w:pPr>
        <w:ind w:left="6480" w:hanging="360"/>
      </w:pPr>
      <w:rPr>
        <w:rFonts w:ascii="Wingdings" w:hAnsi="Wingdings" w:hint="default"/>
      </w:rPr>
    </w:lvl>
  </w:abstractNum>
  <w:abstractNum w:abstractNumId="2" w15:restartNumberingAfterBreak="0">
    <w:nsid w:val="25E1574A"/>
    <w:multiLevelType w:val="hybridMultilevel"/>
    <w:tmpl w:val="F40AB328"/>
    <w:lvl w:ilvl="0" w:tplc="B1A44D9C">
      <w:start w:val="1"/>
      <w:numFmt w:val="bullet"/>
      <w:lvlText w:val="v"/>
      <w:lvlJc w:val="left"/>
      <w:pPr>
        <w:ind w:left="720" w:hanging="360"/>
      </w:pPr>
      <w:rPr>
        <w:rFonts w:ascii="Wingdings" w:hAnsi="Wingdings" w:hint="default"/>
      </w:rPr>
    </w:lvl>
    <w:lvl w:ilvl="1" w:tplc="ED324CDA">
      <w:start w:val="1"/>
      <w:numFmt w:val="bullet"/>
      <w:lvlText w:val="o"/>
      <w:lvlJc w:val="left"/>
      <w:pPr>
        <w:ind w:left="1440" w:hanging="360"/>
      </w:pPr>
      <w:rPr>
        <w:rFonts w:ascii="Courier New" w:hAnsi="Courier New" w:hint="default"/>
      </w:rPr>
    </w:lvl>
    <w:lvl w:ilvl="2" w:tplc="CD221148">
      <w:start w:val="1"/>
      <w:numFmt w:val="bullet"/>
      <w:lvlText w:val=""/>
      <w:lvlJc w:val="left"/>
      <w:pPr>
        <w:ind w:left="2160" w:hanging="360"/>
      </w:pPr>
      <w:rPr>
        <w:rFonts w:ascii="Wingdings" w:hAnsi="Wingdings" w:hint="default"/>
      </w:rPr>
    </w:lvl>
    <w:lvl w:ilvl="3" w:tplc="54107CAC">
      <w:start w:val="1"/>
      <w:numFmt w:val="bullet"/>
      <w:lvlText w:val="·"/>
      <w:lvlJc w:val="left"/>
      <w:pPr>
        <w:ind w:left="2880" w:hanging="360"/>
      </w:pPr>
      <w:rPr>
        <w:rFonts w:ascii="Symbol" w:hAnsi="Symbol" w:hint="default"/>
      </w:rPr>
    </w:lvl>
    <w:lvl w:ilvl="4" w:tplc="42B2FE60">
      <w:start w:val="1"/>
      <w:numFmt w:val="bullet"/>
      <w:lvlText w:val="o"/>
      <w:lvlJc w:val="left"/>
      <w:pPr>
        <w:ind w:left="3600" w:hanging="360"/>
      </w:pPr>
      <w:rPr>
        <w:rFonts w:ascii="Courier New" w:hAnsi="Courier New" w:hint="default"/>
      </w:rPr>
    </w:lvl>
    <w:lvl w:ilvl="5" w:tplc="7102C722">
      <w:start w:val="1"/>
      <w:numFmt w:val="bullet"/>
      <w:lvlText w:val=""/>
      <w:lvlJc w:val="left"/>
      <w:pPr>
        <w:ind w:left="4320" w:hanging="360"/>
      </w:pPr>
      <w:rPr>
        <w:rFonts w:ascii="Wingdings" w:hAnsi="Wingdings" w:hint="default"/>
      </w:rPr>
    </w:lvl>
    <w:lvl w:ilvl="6" w:tplc="D7F09F76">
      <w:start w:val="1"/>
      <w:numFmt w:val="bullet"/>
      <w:lvlText w:val=""/>
      <w:lvlJc w:val="left"/>
      <w:pPr>
        <w:ind w:left="5040" w:hanging="360"/>
      </w:pPr>
      <w:rPr>
        <w:rFonts w:ascii="Symbol" w:hAnsi="Symbol" w:hint="default"/>
      </w:rPr>
    </w:lvl>
    <w:lvl w:ilvl="7" w:tplc="F5EE3DE6">
      <w:start w:val="1"/>
      <w:numFmt w:val="bullet"/>
      <w:lvlText w:val="o"/>
      <w:lvlJc w:val="left"/>
      <w:pPr>
        <w:ind w:left="5760" w:hanging="360"/>
      </w:pPr>
      <w:rPr>
        <w:rFonts w:ascii="Courier New" w:hAnsi="Courier New" w:hint="default"/>
      </w:rPr>
    </w:lvl>
    <w:lvl w:ilvl="8" w:tplc="EFD8E4DA">
      <w:start w:val="1"/>
      <w:numFmt w:val="bullet"/>
      <w:lvlText w:val=""/>
      <w:lvlJc w:val="left"/>
      <w:pPr>
        <w:ind w:left="6480" w:hanging="360"/>
      </w:pPr>
      <w:rPr>
        <w:rFonts w:ascii="Wingdings" w:hAnsi="Wingdings" w:hint="default"/>
      </w:rPr>
    </w:lvl>
  </w:abstractNum>
  <w:abstractNum w:abstractNumId="3" w15:restartNumberingAfterBreak="0">
    <w:nsid w:val="3519515E"/>
    <w:multiLevelType w:val="hybridMultilevel"/>
    <w:tmpl w:val="970AC8B8"/>
    <w:lvl w:ilvl="0" w:tplc="D8F25EA2">
      <w:start w:val="1"/>
      <w:numFmt w:val="decimal"/>
      <w:lvlText w:val="%1."/>
      <w:lvlJc w:val="left"/>
      <w:pPr>
        <w:ind w:left="720" w:hanging="360"/>
      </w:pPr>
    </w:lvl>
    <w:lvl w:ilvl="1" w:tplc="C6FC6754">
      <w:start w:val="1"/>
      <w:numFmt w:val="lowerLetter"/>
      <w:lvlText w:val="%2."/>
      <w:lvlJc w:val="left"/>
      <w:pPr>
        <w:ind w:left="1440" w:hanging="360"/>
      </w:pPr>
    </w:lvl>
    <w:lvl w:ilvl="2" w:tplc="80828A0E">
      <w:start w:val="1"/>
      <w:numFmt w:val="lowerRoman"/>
      <w:lvlText w:val="%3."/>
      <w:lvlJc w:val="right"/>
      <w:pPr>
        <w:ind w:left="2160" w:hanging="180"/>
      </w:pPr>
    </w:lvl>
    <w:lvl w:ilvl="3" w:tplc="D742869E">
      <w:start w:val="1"/>
      <w:numFmt w:val="decimal"/>
      <w:lvlText w:val="%4."/>
      <w:lvlJc w:val="left"/>
      <w:pPr>
        <w:ind w:left="2880" w:hanging="360"/>
      </w:pPr>
    </w:lvl>
    <w:lvl w:ilvl="4" w:tplc="C358826C">
      <w:start w:val="1"/>
      <w:numFmt w:val="lowerLetter"/>
      <w:lvlText w:val="%5."/>
      <w:lvlJc w:val="left"/>
      <w:pPr>
        <w:ind w:left="3600" w:hanging="360"/>
      </w:pPr>
    </w:lvl>
    <w:lvl w:ilvl="5" w:tplc="D53CD73E">
      <w:start w:val="1"/>
      <w:numFmt w:val="lowerRoman"/>
      <w:lvlText w:val="%6."/>
      <w:lvlJc w:val="right"/>
      <w:pPr>
        <w:ind w:left="4320" w:hanging="180"/>
      </w:pPr>
    </w:lvl>
    <w:lvl w:ilvl="6" w:tplc="203E3BA8">
      <w:start w:val="1"/>
      <w:numFmt w:val="decimal"/>
      <w:lvlText w:val="%7."/>
      <w:lvlJc w:val="left"/>
      <w:pPr>
        <w:ind w:left="5040" w:hanging="360"/>
      </w:pPr>
    </w:lvl>
    <w:lvl w:ilvl="7" w:tplc="E41E105C">
      <w:start w:val="1"/>
      <w:numFmt w:val="lowerLetter"/>
      <w:lvlText w:val="%8."/>
      <w:lvlJc w:val="left"/>
      <w:pPr>
        <w:ind w:left="5760" w:hanging="360"/>
      </w:pPr>
    </w:lvl>
    <w:lvl w:ilvl="8" w:tplc="F22ADD94">
      <w:start w:val="1"/>
      <w:numFmt w:val="lowerRoman"/>
      <w:lvlText w:val="%9."/>
      <w:lvlJc w:val="right"/>
      <w:pPr>
        <w:ind w:left="6480" w:hanging="180"/>
      </w:pPr>
    </w:lvl>
  </w:abstractNum>
  <w:abstractNum w:abstractNumId="4" w15:restartNumberingAfterBreak="0">
    <w:nsid w:val="4CDE14BD"/>
    <w:multiLevelType w:val="hybridMultilevel"/>
    <w:tmpl w:val="A1E67D4E"/>
    <w:lvl w:ilvl="0" w:tplc="A35EB6AC">
      <w:start w:val="1"/>
      <w:numFmt w:val="bullet"/>
      <w:lvlText w:val=""/>
      <w:lvlJc w:val="left"/>
      <w:pPr>
        <w:ind w:left="720" w:hanging="360"/>
      </w:pPr>
      <w:rPr>
        <w:rFonts w:ascii="Symbol" w:hAnsi="Symbol" w:hint="default"/>
      </w:rPr>
    </w:lvl>
    <w:lvl w:ilvl="1" w:tplc="647E8E52">
      <w:start w:val="1"/>
      <w:numFmt w:val="bullet"/>
      <w:lvlText w:val="·"/>
      <w:lvlJc w:val="left"/>
      <w:pPr>
        <w:ind w:left="1440" w:hanging="360"/>
      </w:pPr>
      <w:rPr>
        <w:rFonts w:ascii="Symbol" w:hAnsi="Symbol" w:hint="default"/>
      </w:rPr>
    </w:lvl>
    <w:lvl w:ilvl="2" w:tplc="8C96C860">
      <w:start w:val="1"/>
      <w:numFmt w:val="bullet"/>
      <w:lvlText w:val=""/>
      <w:lvlJc w:val="left"/>
      <w:pPr>
        <w:ind w:left="2160" w:hanging="360"/>
      </w:pPr>
      <w:rPr>
        <w:rFonts w:ascii="Wingdings" w:hAnsi="Wingdings" w:hint="default"/>
      </w:rPr>
    </w:lvl>
    <w:lvl w:ilvl="3" w:tplc="BB6CA448">
      <w:start w:val="1"/>
      <w:numFmt w:val="bullet"/>
      <w:lvlText w:val=""/>
      <w:lvlJc w:val="left"/>
      <w:pPr>
        <w:ind w:left="2880" w:hanging="360"/>
      </w:pPr>
      <w:rPr>
        <w:rFonts w:ascii="Symbol" w:hAnsi="Symbol" w:hint="default"/>
      </w:rPr>
    </w:lvl>
    <w:lvl w:ilvl="4" w:tplc="00CCE012">
      <w:start w:val="1"/>
      <w:numFmt w:val="bullet"/>
      <w:lvlText w:val="o"/>
      <w:lvlJc w:val="left"/>
      <w:pPr>
        <w:ind w:left="3600" w:hanging="360"/>
      </w:pPr>
      <w:rPr>
        <w:rFonts w:ascii="Courier New" w:hAnsi="Courier New" w:hint="default"/>
      </w:rPr>
    </w:lvl>
    <w:lvl w:ilvl="5" w:tplc="CAE8CEE4">
      <w:start w:val="1"/>
      <w:numFmt w:val="bullet"/>
      <w:lvlText w:val=""/>
      <w:lvlJc w:val="left"/>
      <w:pPr>
        <w:ind w:left="4320" w:hanging="360"/>
      </w:pPr>
      <w:rPr>
        <w:rFonts w:ascii="Wingdings" w:hAnsi="Wingdings" w:hint="default"/>
      </w:rPr>
    </w:lvl>
    <w:lvl w:ilvl="6" w:tplc="A7DE6B7A">
      <w:start w:val="1"/>
      <w:numFmt w:val="bullet"/>
      <w:lvlText w:val=""/>
      <w:lvlJc w:val="left"/>
      <w:pPr>
        <w:ind w:left="5040" w:hanging="360"/>
      </w:pPr>
      <w:rPr>
        <w:rFonts w:ascii="Symbol" w:hAnsi="Symbol" w:hint="default"/>
      </w:rPr>
    </w:lvl>
    <w:lvl w:ilvl="7" w:tplc="7E7CD330">
      <w:start w:val="1"/>
      <w:numFmt w:val="bullet"/>
      <w:lvlText w:val="o"/>
      <w:lvlJc w:val="left"/>
      <w:pPr>
        <w:ind w:left="5760" w:hanging="360"/>
      </w:pPr>
      <w:rPr>
        <w:rFonts w:ascii="Courier New" w:hAnsi="Courier New" w:hint="default"/>
      </w:rPr>
    </w:lvl>
    <w:lvl w:ilvl="8" w:tplc="4EFC7BBC">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3AA"/>
    <w:rsid w:val="00132D6F"/>
    <w:rsid w:val="00517050"/>
    <w:rsid w:val="00824998"/>
    <w:rsid w:val="009663AA"/>
    <w:rsid w:val="00EF7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09055"/>
  <w15:chartTrackingRefBased/>
  <w15:docId w15:val="{C950E98C-73D4-42D8-AA78-803B99A2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015"/>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015"/>
    <w:pPr>
      <w:ind w:left="720"/>
      <w:contextualSpacing/>
    </w:pPr>
  </w:style>
  <w:style w:type="character" w:styleId="Hyperlink">
    <w:name w:val="Hyperlink"/>
    <w:basedOn w:val="DefaultParagraphFont"/>
    <w:uiPriority w:val="99"/>
    <w:unhideWhenUsed/>
    <w:rsid w:val="00EF70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justice.europa.eu/content_order_for_payment_procedures-41-lt.do?fbclid=IwAR2KKVyVyxFUo__mHx9xuc1l3xF02YwNeB7Nme0E-rQcHsQ8EuqtwR5tUy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2122</Words>
  <Characters>12101</Characters>
  <Application>Microsoft Office Word</Application>
  <DocSecurity>0</DocSecurity>
  <Lines>100</Lines>
  <Paragraphs>28</Paragraphs>
  <ScaleCrop>false</ScaleCrop>
  <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Egidijus Šimoliūnas – LŠTA</dc:creator>
  <cp:keywords/>
  <dc:description/>
  <cp:lastModifiedBy>Egidijus Šimoliūnas – LŠTA</cp:lastModifiedBy>
  <cp:revision>4</cp:revision>
  <dcterms:created xsi:type="dcterms:W3CDTF">2021-07-02T07:17:00Z</dcterms:created>
  <dcterms:modified xsi:type="dcterms:W3CDTF">2021-07-02T07:20:00Z</dcterms:modified>
</cp:coreProperties>
</file>