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DD0221" w14:paraId="1D279693" w14:textId="77777777" w:rsidTr="00AF7D96">
        <w:tc>
          <w:tcPr>
            <w:tcW w:w="4395" w:type="dxa"/>
          </w:tcPr>
          <w:p w14:paraId="2CC85455" w14:textId="77777777" w:rsidR="00A5378F" w:rsidRPr="00DD0221" w:rsidRDefault="00A5378F" w:rsidP="00AF7D96">
            <w:pPr>
              <w:jc w:val="both"/>
              <w:rPr>
                <w:rFonts w:ascii="Times New Roman" w:hAnsi="Times New Roman" w:cs="Times New Roman"/>
                <w:sz w:val="24"/>
                <w:szCs w:val="24"/>
              </w:rPr>
            </w:pPr>
            <w:r w:rsidRPr="00DD0221">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DD0221"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56BFCD26" w:rsidR="00A5378F" w:rsidRPr="00DD0221" w:rsidRDefault="00A5378F" w:rsidP="00AF7D96">
            <w:pPr>
              <w:pStyle w:val="Footer"/>
              <w:spacing w:line="276" w:lineRule="auto"/>
              <w:rPr>
                <w:rFonts w:ascii="Gotham Book" w:hAnsi="Gotham Book" w:cs="Gotham Pro Regular"/>
                <w:color w:val="585858"/>
                <w:sz w:val="16"/>
                <w:szCs w:val="16"/>
              </w:rPr>
            </w:pPr>
            <w:r w:rsidRPr="00DD0221">
              <w:rPr>
                <w:rFonts w:ascii="Gotham Book" w:hAnsi="Gotham Book" w:cs="Gotham Pro Regular"/>
                <w:color w:val="585858"/>
                <w:sz w:val="16"/>
                <w:szCs w:val="16"/>
              </w:rPr>
              <w:t>V. Gerulai</w:t>
            </w:r>
            <w:r w:rsidRPr="00DD0221">
              <w:rPr>
                <w:rFonts w:ascii="Gotham Book" w:eastAsia="Calibri" w:hAnsi="Gotham Book" w:cs="Calibri"/>
                <w:color w:val="585858"/>
                <w:sz w:val="16"/>
                <w:szCs w:val="16"/>
              </w:rPr>
              <w:t>č</w:t>
            </w:r>
            <w:r w:rsidRPr="00DD0221">
              <w:rPr>
                <w:rFonts w:ascii="Gotham Book" w:hAnsi="Gotham Book" w:cs="Gotham Pro Regular"/>
                <w:color w:val="585858"/>
                <w:sz w:val="16"/>
                <w:szCs w:val="16"/>
              </w:rPr>
              <w:t>io g. 1</w:t>
            </w:r>
            <w:r w:rsidR="00940353" w:rsidRPr="00DD0221">
              <w:rPr>
                <w:rFonts w:ascii="Gotham Book" w:hAnsi="Gotham Book" w:cs="Gotham Pro Regular"/>
                <w:color w:val="585858"/>
                <w:sz w:val="16"/>
                <w:szCs w:val="16"/>
              </w:rPr>
              <w:t>0</w:t>
            </w:r>
          </w:p>
          <w:p w14:paraId="7AAA664F" w14:textId="77777777" w:rsidR="00A5378F" w:rsidRPr="00DD0221" w:rsidRDefault="00A5378F" w:rsidP="00AF7D96">
            <w:pPr>
              <w:pStyle w:val="Footer"/>
              <w:spacing w:line="276" w:lineRule="auto"/>
              <w:rPr>
                <w:rFonts w:ascii="Gotham Book" w:hAnsi="Gotham Book" w:cs="Gotham Pro Regular"/>
                <w:color w:val="585858"/>
                <w:sz w:val="16"/>
                <w:szCs w:val="16"/>
              </w:rPr>
            </w:pPr>
            <w:r w:rsidRPr="00DD0221">
              <w:rPr>
                <w:rFonts w:ascii="Gotham Book" w:hAnsi="Gotham Book" w:cs="Gotham Pro Regular"/>
                <w:color w:val="585858"/>
                <w:sz w:val="16"/>
                <w:szCs w:val="16"/>
              </w:rPr>
              <w:t>LT-08200 Vilnius</w:t>
            </w:r>
          </w:p>
          <w:p w14:paraId="7623EA98" w14:textId="77777777" w:rsidR="00A5378F" w:rsidRPr="00DD0221" w:rsidRDefault="00A5378F" w:rsidP="00AF7D96">
            <w:pPr>
              <w:pStyle w:val="Footer"/>
              <w:spacing w:line="276" w:lineRule="auto"/>
              <w:rPr>
                <w:rFonts w:ascii="Gotham Book" w:hAnsi="Gotham Book" w:cs="Gotham Pro Regular"/>
                <w:color w:val="585858"/>
                <w:sz w:val="16"/>
                <w:szCs w:val="16"/>
              </w:rPr>
            </w:pPr>
            <w:r w:rsidRPr="00DD0221">
              <w:rPr>
                <w:rFonts w:ascii="Gotham Book" w:hAnsi="Gotham Book" w:cs="Gotham Pro Regular"/>
                <w:color w:val="585858"/>
                <w:sz w:val="16"/>
                <w:szCs w:val="16"/>
              </w:rPr>
              <w:t>Tel. (8-5) 2667025</w:t>
            </w:r>
          </w:p>
          <w:p w14:paraId="5AEBB9D6" w14:textId="77777777" w:rsidR="00A5378F" w:rsidRPr="00DD0221" w:rsidRDefault="00A5378F" w:rsidP="00AF7D96">
            <w:pPr>
              <w:pStyle w:val="Footer"/>
              <w:spacing w:line="276" w:lineRule="auto"/>
              <w:rPr>
                <w:rFonts w:ascii="Gotham Book" w:hAnsi="Gotham Book" w:cs="Gotham Pro Regular"/>
                <w:color w:val="585858"/>
                <w:sz w:val="16"/>
                <w:szCs w:val="16"/>
              </w:rPr>
            </w:pPr>
            <w:r w:rsidRPr="00DD0221">
              <w:rPr>
                <w:rFonts w:ascii="Gotham Book" w:hAnsi="Gotham Book" w:cs="Gotham Pro Regular"/>
                <w:color w:val="585858"/>
                <w:sz w:val="16"/>
                <w:szCs w:val="16"/>
              </w:rPr>
              <w:t>Faks. (8-5) 2356044</w:t>
            </w:r>
          </w:p>
          <w:p w14:paraId="204520E2" w14:textId="77777777" w:rsidR="00A5378F" w:rsidRPr="00DD0221" w:rsidRDefault="00A5378F" w:rsidP="00AF7D96">
            <w:pPr>
              <w:pStyle w:val="Footer"/>
              <w:spacing w:line="276" w:lineRule="auto"/>
              <w:rPr>
                <w:rFonts w:ascii="Gotham Book" w:hAnsi="Gotham Book" w:cs="Arial"/>
                <w:color w:val="404040" w:themeColor="text1" w:themeTint="BF"/>
                <w:sz w:val="13"/>
                <w:szCs w:val="13"/>
              </w:rPr>
            </w:pPr>
            <w:r w:rsidRPr="00DD0221">
              <w:rPr>
                <w:rFonts w:ascii="Gotham Book" w:hAnsi="Gotham Book" w:cs="Gotham Pro Regular"/>
                <w:color w:val="585858"/>
                <w:sz w:val="16"/>
                <w:szCs w:val="16"/>
              </w:rPr>
              <w:t>info@lsta.lt, www.lsta.lt</w:t>
            </w:r>
          </w:p>
        </w:tc>
        <w:tc>
          <w:tcPr>
            <w:tcW w:w="3260" w:type="dxa"/>
            <w:tcBorders>
              <w:left w:val="single" w:sz="4" w:space="0" w:color="00B050"/>
            </w:tcBorders>
          </w:tcPr>
          <w:p w14:paraId="170B4549" w14:textId="77777777" w:rsidR="00A5378F" w:rsidRPr="00DD0221" w:rsidRDefault="00A5378F" w:rsidP="00AF7D96">
            <w:pPr>
              <w:pStyle w:val="Footer"/>
              <w:rPr>
                <w:rFonts w:ascii="Gotham Book" w:hAnsi="Gotham Book" w:cs="Gotham Pro Regular"/>
                <w:color w:val="585858"/>
                <w:sz w:val="16"/>
                <w:szCs w:val="16"/>
              </w:rPr>
            </w:pPr>
            <w:r w:rsidRPr="00DD0221">
              <w:rPr>
                <w:rFonts w:ascii="Gotham Book" w:hAnsi="Gotham Book" w:cs="Gotham Pro Regular"/>
                <w:color w:val="585858"/>
                <w:sz w:val="16"/>
                <w:szCs w:val="16"/>
              </w:rPr>
              <w:t>Juridini</w:t>
            </w:r>
            <w:r w:rsidRPr="00DD0221">
              <w:rPr>
                <w:rFonts w:ascii="Gotham Book" w:eastAsia="Calibri" w:hAnsi="Gotham Book" w:cs="Calibri"/>
                <w:color w:val="585858"/>
                <w:sz w:val="16"/>
                <w:szCs w:val="16"/>
              </w:rPr>
              <w:t>ų</w:t>
            </w:r>
            <w:r w:rsidRPr="00DD0221">
              <w:rPr>
                <w:rFonts w:ascii="Gotham Book" w:hAnsi="Gotham Book" w:cs="Gotham Pro Regular"/>
                <w:color w:val="585858"/>
                <w:sz w:val="16"/>
                <w:szCs w:val="16"/>
              </w:rPr>
              <w:t xml:space="preserve"> asmen</w:t>
            </w:r>
            <w:r w:rsidRPr="00DD0221">
              <w:rPr>
                <w:rFonts w:ascii="Gotham Book" w:eastAsia="Calibri" w:hAnsi="Gotham Book" w:cs="Calibri"/>
                <w:color w:val="585858"/>
                <w:sz w:val="16"/>
                <w:szCs w:val="16"/>
              </w:rPr>
              <w:t>ų</w:t>
            </w:r>
            <w:r w:rsidRPr="00DD0221">
              <w:rPr>
                <w:rFonts w:ascii="Gotham Book" w:hAnsi="Gotham Book" w:cs="Gotham Pro Regular"/>
                <w:color w:val="585858"/>
                <w:sz w:val="16"/>
                <w:szCs w:val="16"/>
              </w:rPr>
              <w:t xml:space="preserve"> registras</w:t>
            </w:r>
          </w:p>
          <w:p w14:paraId="266DCA6D" w14:textId="77777777" w:rsidR="00A5378F" w:rsidRPr="00DD0221" w:rsidRDefault="00A5378F" w:rsidP="00AF7D96">
            <w:pPr>
              <w:pStyle w:val="Footer"/>
              <w:rPr>
                <w:rFonts w:ascii="Gotham Book" w:hAnsi="Gotham Book" w:cs="Gotham Pro Regular"/>
                <w:color w:val="585858"/>
                <w:sz w:val="16"/>
                <w:szCs w:val="16"/>
              </w:rPr>
            </w:pPr>
            <w:r w:rsidRPr="00DD0221">
              <w:rPr>
                <w:rFonts w:ascii="Gotham Book" w:hAnsi="Gotham Book" w:cs="Gotham Pro Regular"/>
                <w:color w:val="585858"/>
                <w:sz w:val="16"/>
                <w:szCs w:val="16"/>
              </w:rPr>
              <w:t>V</w:t>
            </w:r>
            <w:r w:rsidRPr="00DD0221">
              <w:rPr>
                <w:rFonts w:ascii="Gotham Book" w:eastAsia="Calibri" w:hAnsi="Gotham Book" w:cs="Calibri"/>
                <w:color w:val="585858"/>
                <w:sz w:val="16"/>
                <w:szCs w:val="16"/>
              </w:rPr>
              <w:t>Į</w:t>
            </w:r>
            <w:r w:rsidRPr="00DD0221">
              <w:rPr>
                <w:rFonts w:ascii="Gotham Book" w:hAnsi="Gotham Book" w:cs="Gotham Pro Regular"/>
                <w:color w:val="585858"/>
                <w:sz w:val="16"/>
                <w:szCs w:val="16"/>
              </w:rPr>
              <w:t xml:space="preserve"> „Registr</w:t>
            </w:r>
            <w:r w:rsidRPr="00DD0221">
              <w:rPr>
                <w:rFonts w:ascii="Gotham Book" w:eastAsia="Calibri" w:hAnsi="Gotham Book" w:cs="Calibri"/>
                <w:color w:val="585858"/>
                <w:sz w:val="16"/>
                <w:szCs w:val="16"/>
              </w:rPr>
              <w:t>ų</w:t>
            </w:r>
            <w:r w:rsidRPr="00DD0221">
              <w:rPr>
                <w:rFonts w:ascii="Gotham Book" w:hAnsi="Gotham Book" w:cs="Gotham Pro Regular"/>
                <w:color w:val="585858"/>
                <w:sz w:val="16"/>
                <w:szCs w:val="16"/>
              </w:rPr>
              <w:t xml:space="preserve"> centras“ Vilniaus filialas</w:t>
            </w:r>
          </w:p>
          <w:p w14:paraId="5CFB8752" w14:textId="77777777" w:rsidR="00A5378F" w:rsidRPr="00DD0221" w:rsidRDefault="00A5378F" w:rsidP="00AF7D96">
            <w:pPr>
              <w:pStyle w:val="Footer"/>
              <w:spacing w:line="276" w:lineRule="auto"/>
              <w:rPr>
                <w:rFonts w:ascii="Gotham Book" w:hAnsi="Gotham Book" w:cs="Gotham Pro Regular"/>
                <w:color w:val="585858"/>
                <w:sz w:val="16"/>
                <w:szCs w:val="16"/>
              </w:rPr>
            </w:pPr>
            <w:r w:rsidRPr="00DD0221">
              <w:rPr>
                <w:rFonts w:ascii="Gotham Book" w:eastAsia="Calibri" w:hAnsi="Gotham Book" w:cs="Calibri"/>
                <w:color w:val="585858"/>
                <w:sz w:val="16"/>
                <w:szCs w:val="16"/>
              </w:rPr>
              <w:t>Į</w:t>
            </w:r>
            <w:r w:rsidRPr="00DD0221">
              <w:rPr>
                <w:rFonts w:ascii="Gotham Book" w:hAnsi="Gotham Book" w:cs="Gotham Pro Regular"/>
                <w:color w:val="585858"/>
                <w:sz w:val="16"/>
                <w:szCs w:val="16"/>
              </w:rPr>
              <w:t>mon</w:t>
            </w:r>
            <w:r w:rsidRPr="00DD0221">
              <w:rPr>
                <w:rFonts w:ascii="Gotham Book" w:eastAsia="Calibri" w:hAnsi="Gotham Book" w:cs="Calibri"/>
                <w:color w:val="585858"/>
                <w:sz w:val="16"/>
                <w:szCs w:val="16"/>
              </w:rPr>
              <w:t>ė</w:t>
            </w:r>
            <w:r w:rsidRPr="00DD0221">
              <w:rPr>
                <w:rFonts w:ascii="Gotham Book" w:hAnsi="Gotham Book" w:cs="Gotham Pro Regular"/>
                <w:color w:val="585858"/>
                <w:sz w:val="16"/>
                <w:szCs w:val="16"/>
              </w:rPr>
              <w:t xml:space="preserve">s kodas 124361985 </w:t>
            </w:r>
            <w:r w:rsidRPr="00DD0221">
              <w:rPr>
                <w:rFonts w:ascii="Gotham Book" w:hAnsi="Gotham Book" w:cs="Gotham Pro Regular"/>
                <w:color w:val="585858"/>
                <w:sz w:val="16"/>
                <w:szCs w:val="16"/>
              </w:rPr>
              <w:br/>
              <w:t>Atsiskaitomoji s</w:t>
            </w:r>
            <w:r w:rsidRPr="00DD0221">
              <w:rPr>
                <w:rFonts w:ascii="Gotham Book" w:eastAsia="Calibri" w:hAnsi="Gotham Book" w:cs="Calibri"/>
                <w:color w:val="585858"/>
                <w:sz w:val="16"/>
                <w:szCs w:val="16"/>
              </w:rPr>
              <w:t>ą</w:t>
            </w:r>
            <w:r w:rsidRPr="00DD0221">
              <w:rPr>
                <w:rFonts w:ascii="Gotham Book" w:hAnsi="Gotham Book" w:cs="Gotham Pro Regular"/>
                <w:color w:val="585858"/>
                <w:sz w:val="16"/>
                <w:szCs w:val="16"/>
              </w:rPr>
              <w:t xml:space="preserve">skaita </w:t>
            </w:r>
          </w:p>
          <w:p w14:paraId="388338D2" w14:textId="77777777" w:rsidR="00A5378F" w:rsidRPr="00DD0221" w:rsidRDefault="00A5378F" w:rsidP="00AF7D96">
            <w:pPr>
              <w:pStyle w:val="Footer"/>
              <w:spacing w:line="276" w:lineRule="auto"/>
              <w:rPr>
                <w:rFonts w:ascii="Gotham Book" w:hAnsi="Gotham Book" w:cs="Gotham Pro Regular"/>
                <w:color w:val="585858"/>
                <w:sz w:val="16"/>
                <w:szCs w:val="16"/>
              </w:rPr>
            </w:pPr>
            <w:r w:rsidRPr="00DD0221">
              <w:rPr>
                <w:rFonts w:ascii="Gotham Book" w:hAnsi="Gotham Book" w:cs="Gotham Pro Regular"/>
                <w:color w:val="585858"/>
                <w:sz w:val="16"/>
                <w:szCs w:val="16"/>
              </w:rPr>
              <w:t>LT27 7044 0600 0125 7217 AB SEB bankas</w:t>
            </w:r>
          </w:p>
        </w:tc>
      </w:tr>
    </w:tbl>
    <w:tbl>
      <w:tblPr>
        <w:tblpPr w:leftFromText="180" w:rightFromText="180" w:vertAnchor="text" w:horzAnchor="margin" w:tblpY="339"/>
        <w:tblW w:w="9720" w:type="dxa"/>
        <w:tblLayout w:type="fixed"/>
        <w:tblCellMar>
          <w:left w:w="14" w:type="dxa"/>
          <w:right w:w="14" w:type="dxa"/>
        </w:tblCellMar>
        <w:tblLook w:val="0000" w:firstRow="0" w:lastRow="0" w:firstColumn="0" w:lastColumn="0" w:noHBand="0" w:noVBand="0"/>
      </w:tblPr>
      <w:tblGrid>
        <w:gridCol w:w="5537"/>
        <w:gridCol w:w="283"/>
        <w:gridCol w:w="1418"/>
        <w:gridCol w:w="2482"/>
      </w:tblGrid>
      <w:tr w:rsidR="00A5378F" w:rsidRPr="00DD0221" w14:paraId="2F307AFA" w14:textId="77777777" w:rsidTr="001F210A">
        <w:trPr>
          <w:cantSplit/>
        </w:trPr>
        <w:tc>
          <w:tcPr>
            <w:tcW w:w="5537" w:type="dxa"/>
            <w:vMerge w:val="restart"/>
          </w:tcPr>
          <w:p w14:paraId="12C8476B" w14:textId="1F095137" w:rsidR="00EB0191" w:rsidRPr="00DD0221" w:rsidRDefault="00374195" w:rsidP="004427C7">
            <w:pPr>
              <w:rPr>
                <w:rFonts w:ascii="Times New Roman" w:hAnsi="Times New Roman" w:cs="Times New Roman"/>
                <w:sz w:val="24"/>
                <w:szCs w:val="24"/>
              </w:rPr>
            </w:pPr>
            <w:r>
              <w:rPr>
                <w:rFonts w:ascii="Times New Roman" w:hAnsi="Times New Roman" w:cs="Times New Roman"/>
                <w:sz w:val="24"/>
                <w:szCs w:val="24"/>
              </w:rPr>
              <w:t>Lietuvos Respublikos energetikos ministerijai</w:t>
            </w:r>
            <w:r w:rsidRPr="00DD0221">
              <w:rPr>
                <w:rFonts w:ascii="Times New Roman" w:hAnsi="Times New Roman" w:cs="Times New Roman"/>
                <w:sz w:val="24"/>
                <w:szCs w:val="24"/>
              </w:rPr>
              <w:t xml:space="preserve"> </w:t>
            </w:r>
          </w:p>
        </w:tc>
        <w:tc>
          <w:tcPr>
            <w:tcW w:w="283" w:type="dxa"/>
          </w:tcPr>
          <w:p w14:paraId="28688853" w14:textId="77777777" w:rsidR="00A5378F" w:rsidRPr="00DD0221" w:rsidRDefault="00A5378F" w:rsidP="00AF7D96">
            <w:pPr>
              <w:rPr>
                <w:rFonts w:ascii="Times New Roman" w:hAnsi="Times New Roman" w:cs="Times New Roman"/>
                <w:bCs/>
                <w:sz w:val="24"/>
                <w:szCs w:val="24"/>
              </w:rPr>
            </w:pPr>
          </w:p>
        </w:tc>
        <w:tc>
          <w:tcPr>
            <w:tcW w:w="1418" w:type="dxa"/>
          </w:tcPr>
          <w:p w14:paraId="4D429152" w14:textId="1CCD26AA" w:rsidR="00A5378F" w:rsidRPr="00DD0221" w:rsidRDefault="00A5378F" w:rsidP="00AF7D96">
            <w:pPr>
              <w:rPr>
                <w:rFonts w:ascii="Times New Roman" w:hAnsi="Times New Roman" w:cs="Times New Roman"/>
                <w:bCs/>
                <w:sz w:val="24"/>
                <w:szCs w:val="24"/>
              </w:rPr>
            </w:pPr>
            <w:r w:rsidRPr="00DD0221">
              <w:rPr>
                <w:rFonts w:ascii="Times New Roman" w:hAnsi="Times New Roman" w:cs="Times New Roman"/>
                <w:bCs/>
                <w:sz w:val="24"/>
                <w:szCs w:val="24"/>
              </w:rPr>
              <w:t>20</w:t>
            </w:r>
            <w:r w:rsidR="005A234D" w:rsidRPr="00DD0221">
              <w:rPr>
                <w:rFonts w:ascii="Times New Roman" w:hAnsi="Times New Roman" w:cs="Times New Roman"/>
                <w:bCs/>
                <w:sz w:val="24"/>
                <w:szCs w:val="24"/>
              </w:rPr>
              <w:t>2</w:t>
            </w:r>
            <w:r w:rsidR="0043705D">
              <w:rPr>
                <w:rFonts w:ascii="Times New Roman" w:hAnsi="Times New Roman" w:cs="Times New Roman"/>
                <w:bCs/>
                <w:sz w:val="24"/>
                <w:szCs w:val="24"/>
              </w:rPr>
              <w:t>1</w:t>
            </w:r>
            <w:r w:rsidRPr="00DD0221">
              <w:rPr>
                <w:rFonts w:ascii="Times New Roman" w:hAnsi="Times New Roman" w:cs="Times New Roman"/>
                <w:bCs/>
                <w:sz w:val="24"/>
                <w:szCs w:val="24"/>
              </w:rPr>
              <w:t>-</w:t>
            </w:r>
            <w:r w:rsidR="0043705D">
              <w:rPr>
                <w:rFonts w:ascii="Times New Roman" w:hAnsi="Times New Roman" w:cs="Times New Roman"/>
                <w:bCs/>
                <w:sz w:val="24"/>
                <w:szCs w:val="24"/>
              </w:rPr>
              <w:t>0</w:t>
            </w:r>
            <w:r w:rsidR="00E32824">
              <w:rPr>
                <w:rFonts w:ascii="Times New Roman" w:hAnsi="Times New Roman" w:cs="Times New Roman"/>
                <w:bCs/>
                <w:sz w:val="24"/>
                <w:szCs w:val="24"/>
              </w:rPr>
              <w:t>4</w:t>
            </w:r>
            <w:r w:rsidRPr="00DD0221">
              <w:rPr>
                <w:rFonts w:ascii="Times New Roman" w:hAnsi="Times New Roman" w:cs="Times New Roman"/>
                <w:bCs/>
                <w:sz w:val="24"/>
                <w:szCs w:val="24"/>
              </w:rPr>
              <w:t>-</w:t>
            </w:r>
            <w:r w:rsidR="00843B15">
              <w:rPr>
                <w:rFonts w:ascii="Times New Roman" w:hAnsi="Times New Roman" w:cs="Times New Roman"/>
                <w:bCs/>
                <w:sz w:val="24"/>
                <w:szCs w:val="24"/>
              </w:rPr>
              <w:t>09</w:t>
            </w:r>
          </w:p>
        </w:tc>
        <w:tc>
          <w:tcPr>
            <w:tcW w:w="2482" w:type="dxa"/>
          </w:tcPr>
          <w:p w14:paraId="0DCDE756" w14:textId="0E0DE69F" w:rsidR="00A5378F" w:rsidRPr="00DD0221" w:rsidRDefault="00A5378F" w:rsidP="00AF7D96">
            <w:pPr>
              <w:rPr>
                <w:rFonts w:ascii="Times New Roman" w:hAnsi="Times New Roman" w:cs="Times New Roman"/>
                <w:bCs/>
                <w:sz w:val="24"/>
                <w:szCs w:val="24"/>
              </w:rPr>
            </w:pPr>
            <w:r w:rsidRPr="00DD0221">
              <w:rPr>
                <w:rFonts w:ascii="Times New Roman" w:hAnsi="Times New Roman" w:cs="Times New Roman"/>
                <w:bCs/>
                <w:sz w:val="24"/>
                <w:szCs w:val="24"/>
              </w:rPr>
              <w:t>Nr.</w:t>
            </w:r>
            <w:r w:rsidR="00FE0E7B" w:rsidRPr="00DD0221">
              <w:rPr>
                <w:rFonts w:ascii="Times New Roman" w:hAnsi="Times New Roman" w:cs="Times New Roman"/>
                <w:bCs/>
                <w:sz w:val="24"/>
                <w:szCs w:val="24"/>
              </w:rPr>
              <w:t xml:space="preserve"> </w:t>
            </w:r>
            <w:r w:rsidR="00843B15">
              <w:rPr>
                <w:rFonts w:ascii="Times New Roman" w:hAnsi="Times New Roman" w:cs="Times New Roman"/>
                <w:bCs/>
                <w:sz w:val="24"/>
                <w:szCs w:val="24"/>
              </w:rPr>
              <w:t>36</w:t>
            </w:r>
          </w:p>
        </w:tc>
      </w:tr>
      <w:tr w:rsidR="00A5378F" w:rsidRPr="00DD0221" w14:paraId="09EA10AA" w14:textId="77777777" w:rsidTr="00C646D5">
        <w:trPr>
          <w:cantSplit/>
          <w:trHeight w:val="624"/>
        </w:trPr>
        <w:tc>
          <w:tcPr>
            <w:tcW w:w="5537" w:type="dxa"/>
            <w:vMerge/>
          </w:tcPr>
          <w:p w14:paraId="71EA8D27" w14:textId="77777777" w:rsidR="00A5378F" w:rsidRPr="00DD0221" w:rsidRDefault="00A5378F" w:rsidP="00AF7D96">
            <w:pPr>
              <w:rPr>
                <w:rFonts w:ascii="Times New Roman" w:hAnsi="Times New Roman" w:cs="Times New Roman"/>
                <w:sz w:val="24"/>
                <w:szCs w:val="24"/>
              </w:rPr>
            </w:pPr>
          </w:p>
        </w:tc>
        <w:tc>
          <w:tcPr>
            <w:tcW w:w="283" w:type="dxa"/>
          </w:tcPr>
          <w:p w14:paraId="4E36042F" w14:textId="517BEB42" w:rsidR="00A5378F" w:rsidRPr="00DD0221" w:rsidRDefault="00A5378F" w:rsidP="00AF7D96">
            <w:pPr>
              <w:pStyle w:val="Heading1"/>
              <w:rPr>
                <w:szCs w:val="24"/>
              </w:rPr>
            </w:pPr>
          </w:p>
        </w:tc>
        <w:tc>
          <w:tcPr>
            <w:tcW w:w="1418" w:type="dxa"/>
          </w:tcPr>
          <w:p w14:paraId="094B5206" w14:textId="48BE8EDF" w:rsidR="00A5378F" w:rsidRPr="00DD0221" w:rsidRDefault="00A5378F" w:rsidP="00AF7D96">
            <w:pPr>
              <w:rPr>
                <w:rFonts w:ascii="Times New Roman" w:hAnsi="Times New Roman" w:cs="Times New Roman"/>
                <w:sz w:val="24"/>
                <w:szCs w:val="24"/>
              </w:rPr>
            </w:pPr>
          </w:p>
        </w:tc>
        <w:tc>
          <w:tcPr>
            <w:tcW w:w="2482" w:type="dxa"/>
          </w:tcPr>
          <w:p w14:paraId="29966694" w14:textId="19427021" w:rsidR="00A5378F" w:rsidRPr="00DD0221" w:rsidRDefault="00A5378F" w:rsidP="00AF7D96">
            <w:pPr>
              <w:pStyle w:val="Heading1"/>
              <w:rPr>
                <w:szCs w:val="24"/>
              </w:rPr>
            </w:pPr>
          </w:p>
        </w:tc>
      </w:tr>
      <w:tr w:rsidR="00A5378F" w:rsidRPr="00DD0221" w14:paraId="4132F391" w14:textId="77777777" w:rsidTr="004E5521">
        <w:trPr>
          <w:cantSplit/>
          <w:trHeight w:val="309"/>
        </w:trPr>
        <w:tc>
          <w:tcPr>
            <w:tcW w:w="5537" w:type="dxa"/>
          </w:tcPr>
          <w:p w14:paraId="738DF583" w14:textId="0DE075CE" w:rsidR="00C646D5" w:rsidRPr="00DD0221" w:rsidRDefault="00C646D5" w:rsidP="00AF7D96">
            <w:pPr>
              <w:tabs>
                <w:tab w:val="left" w:pos="3513"/>
              </w:tabs>
              <w:rPr>
                <w:rFonts w:ascii="Times New Roman" w:hAnsi="Times New Roman" w:cs="Times New Roman"/>
                <w:sz w:val="24"/>
                <w:szCs w:val="24"/>
              </w:rPr>
            </w:pPr>
          </w:p>
        </w:tc>
        <w:tc>
          <w:tcPr>
            <w:tcW w:w="283" w:type="dxa"/>
          </w:tcPr>
          <w:p w14:paraId="2810A5CB" w14:textId="77777777" w:rsidR="00A5378F" w:rsidRPr="00DD0221" w:rsidRDefault="00A5378F" w:rsidP="00AF7D96">
            <w:pPr>
              <w:rPr>
                <w:rFonts w:ascii="Times New Roman" w:hAnsi="Times New Roman" w:cs="Times New Roman"/>
                <w:sz w:val="24"/>
                <w:szCs w:val="24"/>
              </w:rPr>
            </w:pPr>
          </w:p>
        </w:tc>
        <w:tc>
          <w:tcPr>
            <w:tcW w:w="1418" w:type="dxa"/>
          </w:tcPr>
          <w:p w14:paraId="21B51252" w14:textId="77777777" w:rsidR="00A5378F" w:rsidRPr="00DD0221" w:rsidRDefault="00A5378F" w:rsidP="00AF7D96">
            <w:pPr>
              <w:rPr>
                <w:rFonts w:ascii="Times New Roman" w:hAnsi="Times New Roman" w:cs="Times New Roman"/>
                <w:sz w:val="24"/>
                <w:szCs w:val="24"/>
              </w:rPr>
            </w:pPr>
          </w:p>
        </w:tc>
        <w:tc>
          <w:tcPr>
            <w:tcW w:w="2482" w:type="dxa"/>
          </w:tcPr>
          <w:p w14:paraId="3A8CA8C2" w14:textId="77777777" w:rsidR="00A5378F" w:rsidRPr="00DD0221" w:rsidRDefault="00A5378F" w:rsidP="00AF7D96">
            <w:pPr>
              <w:rPr>
                <w:rFonts w:ascii="Times New Roman" w:hAnsi="Times New Roman" w:cs="Times New Roman"/>
                <w:sz w:val="24"/>
                <w:szCs w:val="24"/>
              </w:rPr>
            </w:pPr>
          </w:p>
        </w:tc>
      </w:tr>
      <w:tr w:rsidR="00A5378F" w:rsidRPr="00DA1991" w14:paraId="33E50A91" w14:textId="77777777" w:rsidTr="001F210A">
        <w:trPr>
          <w:cantSplit/>
        </w:trPr>
        <w:tc>
          <w:tcPr>
            <w:tcW w:w="9720" w:type="dxa"/>
            <w:gridSpan w:val="4"/>
          </w:tcPr>
          <w:p w14:paraId="1A0E0272" w14:textId="77777777" w:rsidR="00DA1991" w:rsidRDefault="00DA1991" w:rsidP="004427C7">
            <w:pPr>
              <w:jc w:val="both"/>
              <w:rPr>
                <w:rFonts w:ascii="Times New Roman" w:hAnsi="Times New Roman" w:cs="Times New Roman"/>
                <w:b/>
                <w:bCs/>
                <w:color w:val="000000"/>
                <w:sz w:val="24"/>
                <w:szCs w:val="24"/>
              </w:rPr>
            </w:pPr>
            <w:r w:rsidRPr="00DA1991">
              <w:rPr>
                <w:rFonts w:ascii="Times New Roman" w:hAnsi="Times New Roman" w:cs="Times New Roman"/>
                <w:b/>
                <w:bCs/>
                <w:sz w:val="24"/>
                <w:szCs w:val="24"/>
              </w:rPr>
              <w:t>DĖL</w:t>
            </w:r>
            <w:r w:rsidRPr="00DA1991">
              <w:rPr>
                <w:rFonts w:ascii="Times New Roman" w:hAnsi="Times New Roman" w:cs="Times New Roman"/>
                <w:b/>
                <w:bCs/>
                <w:sz w:val="24"/>
                <w:szCs w:val="24"/>
                <w:lang w:eastAsia="lt-LT"/>
              </w:rPr>
              <w:t xml:space="preserve"> </w:t>
            </w:r>
            <w:r w:rsidRPr="00DA1991">
              <w:rPr>
                <w:rFonts w:ascii="Times New Roman" w:hAnsi="Times New Roman" w:cs="Times New Roman"/>
                <w:b/>
                <w:bCs/>
                <w:color w:val="000000"/>
                <w:sz w:val="24"/>
                <w:szCs w:val="24"/>
              </w:rPr>
              <w:t xml:space="preserve">LIETUVOS </w:t>
            </w:r>
            <w:r w:rsidR="004427C7">
              <w:rPr>
                <w:rFonts w:ascii="Times New Roman" w:hAnsi="Times New Roman" w:cs="Times New Roman"/>
                <w:b/>
                <w:bCs/>
                <w:color w:val="000000"/>
                <w:sz w:val="24"/>
                <w:szCs w:val="24"/>
              </w:rPr>
              <w:t>VYRIAUSIOJO ADMINISTRACINIO TEISMO 2021-03-31 SPRENDIMO ĮGYVENDINIMO</w:t>
            </w:r>
          </w:p>
          <w:p w14:paraId="2C04ACAC" w14:textId="77777777" w:rsidR="004427C7" w:rsidRDefault="004427C7" w:rsidP="004427C7">
            <w:pPr>
              <w:jc w:val="both"/>
              <w:rPr>
                <w:rFonts w:ascii="Times New Roman" w:hAnsi="Times New Roman" w:cs="Times New Roman"/>
                <w:b/>
                <w:bCs/>
                <w:color w:val="000000"/>
                <w:sz w:val="24"/>
                <w:szCs w:val="24"/>
              </w:rPr>
            </w:pPr>
          </w:p>
          <w:p w14:paraId="5AB6DA64" w14:textId="26808896" w:rsidR="004427C7" w:rsidRPr="00DA1991" w:rsidRDefault="004427C7" w:rsidP="004427C7">
            <w:pPr>
              <w:jc w:val="both"/>
              <w:rPr>
                <w:rFonts w:ascii="Times New Roman" w:hAnsi="Times New Roman" w:cs="Times New Roman"/>
                <w:caps/>
                <w:sz w:val="24"/>
                <w:szCs w:val="24"/>
              </w:rPr>
            </w:pPr>
          </w:p>
        </w:tc>
      </w:tr>
    </w:tbl>
    <w:p w14:paraId="669F2245" w14:textId="77777777" w:rsidR="00E32824" w:rsidRDefault="00E32824" w:rsidP="004427C7">
      <w:pPr>
        <w:jc w:val="both"/>
        <w:rPr>
          <w:rFonts w:ascii="Times New Roman" w:hAnsi="Times New Roman" w:cs="Times New Roman"/>
          <w:sz w:val="24"/>
          <w:szCs w:val="24"/>
        </w:rPr>
      </w:pPr>
    </w:p>
    <w:p w14:paraId="619374E7" w14:textId="0F609B4A" w:rsidR="004427C7" w:rsidRDefault="004427C7" w:rsidP="007101A9">
      <w:pPr>
        <w:spacing w:before="120" w:after="120"/>
        <w:ind w:firstLine="851"/>
        <w:jc w:val="both"/>
        <w:rPr>
          <w:rFonts w:ascii="Times New Roman" w:hAnsi="Times New Roman" w:cs="Times New Roman"/>
          <w:sz w:val="24"/>
          <w:szCs w:val="24"/>
        </w:rPr>
      </w:pPr>
      <w:r w:rsidRPr="004427C7">
        <w:rPr>
          <w:rFonts w:ascii="Times New Roman" w:hAnsi="Times New Roman" w:cs="Times New Roman"/>
          <w:sz w:val="24"/>
          <w:szCs w:val="24"/>
        </w:rPr>
        <w:t xml:space="preserve">Lietuvos vyriausiasis administracinis teismas (toliau – Teismas) 2021-03-31 </w:t>
      </w:r>
      <w:r w:rsidR="00722F84">
        <w:rPr>
          <w:rFonts w:ascii="Times New Roman" w:hAnsi="Times New Roman" w:cs="Times New Roman"/>
          <w:sz w:val="24"/>
          <w:szCs w:val="24"/>
        </w:rPr>
        <w:t xml:space="preserve">priėmė </w:t>
      </w:r>
      <w:r w:rsidRPr="004427C7">
        <w:rPr>
          <w:rFonts w:ascii="Times New Roman" w:hAnsi="Times New Roman" w:cs="Times New Roman"/>
          <w:sz w:val="24"/>
          <w:szCs w:val="24"/>
        </w:rPr>
        <w:t>sprendimą</w:t>
      </w:r>
      <w:r w:rsidR="002C06BA">
        <w:rPr>
          <w:rFonts w:ascii="Times New Roman" w:hAnsi="Times New Roman" w:cs="Times New Roman"/>
          <w:sz w:val="24"/>
          <w:szCs w:val="24"/>
        </w:rPr>
        <w:t xml:space="preserve"> </w:t>
      </w:r>
      <w:r w:rsidR="002C06BA" w:rsidRPr="002C06BA">
        <w:rPr>
          <w:rFonts w:ascii="Times New Roman" w:hAnsi="Times New Roman" w:cs="Times New Roman"/>
          <w:sz w:val="24"/>
          <w:szCs w:val="24"/>
        </w:rPr>
        <w:t>(</w:t>
      </w:r>
      <w:r w:rsidR="002C06BA">
        <w:rPr>
          <w:rFonts w:ascii="Times New Roman" w:hAnsi="Times New Roman" w:cs="Times New Roman"/>
          <w:sz w:val="24"/>
          <w:szCs w:val="24"/>
        </w:rPr>
        <w:t>a</w:t>
      </w:r>
      <w:r w:rsidR="002C06BA" w:rsidRPr="002C06BA">
        <w:rPr>
          <w:rFonts w:ascii="Times New Roman" w:hAnsi="Times New Roman" w:cs="Times New Roman"/>
          <w:sz w:val="24"/>
          <w:szCs w:val="24"/>
        </w:rPr>
        <w:t>dministracinė byla Nr. I-5-261/2021)</w:t>
      </w:r>
      <w:r w:rsidRPr="004427C7">
        <w:rPr>
          <w:rFonts w:ascii="Times New Roman" w:hAnsi="Times New Roman" w:cs="Times New Roman"/>
          <w:sz w:val="24"/>
          <w:szCs w:val="24"/>
        </w:rPr>
        <w:t xml:space="preserve">, kuriuo pripažino, kad po Pastato šildymo ir karšto vandens sistemos priežiūros tvarkos aprašo, patvirtinto Lietuvos Respublikos </w:t>
      </w:r>
      <w:r w:rsidR="0012623A">
        <w:rPr>
          <w:rFonts w:ascii="Times New Roman" w:hAnsi="Times New Roman" w:cs="Times New Roman"/>
          <w:sz w:val="24"/>
          <w:szCs w:val="24"/>
        </w:rPr>
        <w:t xml:space="preserve">(toliau – LR) </w:t>
      </w:r>
      <w:r w:rsidRPr="004427C7">
        <w:rPr>
          <w:rFonts w:ascii="Times New Roman" w:hAnsi="Times New Roman" w:cs="Times New Roman"/>
          <w:sz w:val="24"/>
          <w:szCs w:val="24"/>
        </w:rPr>
        <w:t>energetikos ministro 2009 m. lapkričio 26 d. įsakymu Nr. 1</w:t>
      </w:r>
      <w:r w:rsidR="00DE43AE">
        <w:rPr>
          <w:rFonts w:ascii="Times New Roman" w:hAnsi="Times New Roman" w:cs="Times New Roman"/>
          <w:sz w:val="24"/>
          <w:szCs w:val="24"/>
        </w:rPr>
        <w:t>-</w:t>
      </w:r>
      <w:r w:rsidRPr="004427C7">
        <w:rPr>
          <w:rFonts w:ascii="Times New Roman" w:hAnsi="Times New Roman" w:cs="Times New Roman"/>
          <w:sz w:val="24"/>
          <w:szCs w:val="24"/>
        </w:rPr>
        <w:t>229 „Dėl Pastato šildymo ir karšto vandens sistemos priežiūros tvarkos aprašo patvirtinimo“, 3 priedo 17 ir 18 lentelėmis esančių pastraipų antri sakiniai tiek, kiek jais nustatyta daugiabučio namo butų ir kitų patalpų savininkų pareiga apmokėti</w:t>
      </w:r>
      <w:r w:rsidRPr="004427C7">
        <w:rPr>
          <w:rFonts w:ascii="Times New Roman" w:hAnsi="Times New Roman" w:cs="Times New Roman"/>
          <w:b/>
          <w:bCs/>
          <w:sz w:val="24"/>
          <w:szCs w:val="24"/>
        </w:rPr>
        <w:t xml:space="preserve"> </w:t>
      </w:r>
      <w:r w:rsidRPr="004427C7">
        <w:rPr>
          <w:rFonts w:ascii="Times New Roman" w:hAnsi="Times New Roman" w:cs="Times New Roman"/>
          <w:sz w:val="24"/>
          <w:szCs w:val="24"/>
        </w:rPr>
        <w:t>šilumos punkto, kuris nuosavybės teise priklauso šilumos ir (ar) karšto vandens tiekėjui ar tretiesiems asmenims, priežiūros ir eksploatavimo sąnaudas, įskaitant remonto darbams reikalingas medžiagas, atsargines dalis ir įrengimus, kurios nėra įskaičiuotos į šilumos ir karšto vandens sistemos priežiūros ir (ar) eksploatavimo tarifus, prieštarauja Lietuvos Respublikos teisėkūros pagrindų įstatymo 3 straipsnio 2 dalies 7 punktui.</w:t>
      </w:r>
    </w:p>
    <w:p w14:paraId="20837194" w14:textId="2473A071" w:rsidR="004427C7" w:rsidRDefault="004427C7" w:rsidP="007101A9">
      <w:pPr>
        <w:spacing w:before="120" w:after="120"/>
        <w:ind w:firstLine="851"/>
        <w:jc w:val="both"/>
        <w:rPr>
          <w:rFonts w:ascii="Times New Roman" w:hAnsi="Times New Roman" w:cs="Times New Roman"/>
          <w:color w:val="000000"/>
          <w:sz w:val="24"/>
          <w:szCs w:val="24"/>
          <w:shd w:val="clear" w:color="auto" w:fill="FFFFFF"/>
        </w:rPr>
      </w:pPr>
      <w:r w:rsidRPr="004427C7">
        <w:rPr>
          <w:rFonts w:ascii="Times New Roman" w:hAnsi="Times New Roman" w:cs="Times New Roman"/>
          <w:sz w:val="24"/>
          <w:szCs w:val="24"/>
        </w:rPr>
        <w:t>LR administracinių bylų teisenos įstatymo 118 str</w:t>
      </w:r>
      <w:r>
        <w:rPr>
          <w:rFonts w:ascii="Times New Roman" w:hAnsi="Times New Roman" w:cs="Times New Roman"/>
          <w:sz w:val="24"/>
          <w:szCs w:val="24"/>
        </w:rPr>
        <w:t>aipsnio</w:t>
      </w:r>
      <w:r w:rsidRPr="004427C7">
        <w:rPr>
          <w:rFonts w:ascii="Times New Roman" w:hAnsi="Times New Roman" w:cs="Times New Roman"/>
          <w:sz w:val="24"/>
          <w:szCs w:val="24"/>
        </w:rPr>
        <w:t xml:space="preserve"> 1 d</w:t>
      </w:r>
      <w:r>
        <w:rPr>
          <w:rFonts w:ascii="Times New Roman" w:hAnsi="Times New Roman" w:cs="Times New Roman"/>
          <w:sz w:val="24"/>
          <w:szCs w:val="24"/>
        </w:rPr>
        <w:t>alyje</w:t>
      </w:r>
      <w:r w:rsidRPr="004427C7">
        <w:rPr>
          <w:rFonts w:ascii="Times New Roman" w:hAnsi="Times New Roman" w:cs="Times New Roman"/>
          <w:color w:val="000000"/>
          <w:sz w:val="24"/>
          <w:szCs w:val="24"/>
          <w:shd w:val="clear" w:color="auto" w:fill="FFFFFF"/>
        </w:rPr>
        <w:t xml:space="preserve"> nustatyta, jog norminis administracinis aktas (ar jo dalis) </w:t>
      </w:r>
      <w:r w:rsidRPr="006566BA">
        <w:rPr>
          <w:rFonts w:ascii="Times New Roman" w:hAnsi="Times New Roman" w:cs="Times New Roman"/>
          <w:color w:val="000000"/>
          <w:sz w:val="24"/>
          <w:szCs w:val="24"/>
          <w:shd w:val="clear" w:color="auto" w:fill="FFFFFF"/>
        </w:rPr>
        <w:t xml:space="preserve">paprastai negali būti taikomas nuo tos dienos, kai oficialiai buvo paskelbtas įsiteisėjęs administracinio teismo sprendimas dėl to norminio administracinio akto (ar jo dalies) pripažinimo neteisėtu. Tai reiškia, kad norminis administracinis aktas, kurį kompetentingas administracinis teismas pripažino neteisėtu, </w:t>
      </w:r>
      <w:r w:rsidRPr="006566BA">
        <w:rPr>
          <w:rFonts w:ascii="Times New Roman" w:hAnsi="Times New Roman" w:cs="Times New Roman"/>
          <w:b/>
          <w:bCs/>
          <w:color w:val="000000"/>
          <w:sz w:val="24"/>
          <w:szCs w:val="24"/>
          <w:shd w:val="clear" w:color="auto" w:fill="FFFFFF"/>
        </w:rPr>
        <w:t xml:space="preserve">nuo oficialaus atitinkamo administracinio teismo sprendimo paskelbimo dienos pašalinamas iš teisės sistemos ir </w:t>
      </w:r>
      <w:r w:rsidRPr="006566BA">
        <w:rPr>
          <w:rFonts w:ascii="Times New Roman" w:hAnsi="Times New Roman" w:cs="Times New Roman"/>
          <w:b/>
          <w:bCs/>
          <w:sz w:val="24"/>
          <w:szCs w:val="24"/>
          <w:shd w:val="clear" w:color="auto" w:fill="FFFFFF"/>
        </w:rPr>
        <w:t>nebegali būti taikomas</w:t>
      </w:r>
      <w:r w:rsidRPr="006566BA">
        <w:rPr>
          <w:rFonts w:ascii="Times New Roman" w:hAnsi="Times New Roman" w:cs="Times New Roman"/>
          <w:sz w:val="24"/>
          <w:szCs w:val="24"/>
          <w:shd w:val="clear" w:color="auto" w:fill="FFFFFF"/>
        </w:rPr>
        <w:t xml:space="preserve"> </w:t>
      </w:r>
      <w:r w:rsidRPr="004427C7">
        <w:rPr>
          <w:rFonts w:ascii="Times New Roman" w:hAnsi="Times New Roman" w:cs="Times New Roman"/>
          <w:color w:val="000000"/>
          <w:sz w:val="24"/>
          <w:szCs w:val="24"/>
          <w:shd w:val="clear" w:color="auto" w:fill="FFFFFF"/>
        </w:rPr>
        <w:t>(žr., pvz., Lietuvos vyriausiojo administracinio teismo 2007 m. rugsėjo 5 d. sprendimą administracinėje byloje Nr. </w:t>
      </w:r>
      <w:hyperlink r:id="rId9" w:tgtFrame="_blank" w:tooltip="I-556-11-07 Dėl atitinkamo norminio akto pripažinimo neteisėtu." w:history="1">
        <w:r w:rsidRPr="004427C7">
          <w:rPr>
            <w:rStyle w:val="Hyperlink"/>
            <w:rFonts w:ascii="Times New Roman" w:hAnsi="Times New Roman" w:cs="Times New Roman"/>
            <w:color w:val="000000"/>
            <w:sz w:val="24"/>
            <w:szCs w:val="24"/>
            <w:u w:val="none"/>
            <w:shd w:val="clear" w:color="auto" w:fill="FFFFFF"/>
          </w:rPr>
          <w:t>I</w:t>
        </w:r>
        <w:r w:rsidRPr="004427C7">
          <w:rPr>
            <w:rStyle w:val="Hyperlink"/>
            <w:rFonts w:ascii="Times New Roman" w:hAnsi="Times New Roman" w:cs="Times New Roman"/>
            <w:color w:val="000000"/>
            <w:sz w:val="24"/>
            <w:szCs w:val="24"/>
            <w:u w:val="none"/>
            <w:shd w:val="clear" w:color="auto" w:fill="FFFFFF"/>
            <w:vertAlign w:val="superscript"/>
          </w:rPr>
          <w:t>556</w:t>
        </w:r>
        <w:r w:rsidRPr="004427C7">
          <w:rPr>
            <w:rStyle w:val="Hyperlink"/>
            <w:rFonts w:ascii="Times New Roman" w:hAnsi="Times New Roman" w:cs="Times New Roman"/>
            <w:color w:val="000000"/>
            <w:sz w:val="24"/>
            <w:szCs w:val="24"/>
            <w:u w:val="none"/>
            <w:shd w:val="clear" w:color="auto" w:fill="FFFFFF"/>
          </w:rPr>
          <w:t>-11/2007</w:t>
        </w:r>
      </w:hyperlink>
      <w:bookmarkStart w:id="0" w:name="n974137bc-52bb-4a3f-9073-a06c29ca5492"/>
      <w:bookmarkStart w:id="1" w:name="pn974137bc-52bb-4a3f-9073-a06c29ca5492"/>
      <w:bookmarkEnd w:id="0"/>
      <w:bookmarkEnd w:id="1"/>
      <w:r w:rsidRPr="004427C7">
        <w:rPr>
          <w:rFonts w:ascii="Times New Roman" w:hAnsi="Times New Roman" w:cs="Times New Roman"/>
          <w:color w:val="000000"/>
          <w:sz w:val="24"/>
          <w:szCs w:val="24"/>
          <w:shd w:val="clear" w:color="auto" w:fill="FFFFFF"/>
        </w:rPr>
        <w:t>).</w:t>
      </w:r>
    </w:p>
    <w:p w14:paraId="6A9CADE3" w14:textId="1ACB2271" w:rsidR="0095030A" w:rsidRPr="00B04601" w:rsidRDefault="0095030A" w:rsidP="007101A9">
      <w:pPr>
        <w:spacing w:before="120" w:after="120"/>
        <w:ind w:firstLine="851"/>
        <w:jc w:val="both"/>
        <w:rPr>
          <w:rFonts w:ascii="Times New Roman" w:hAnsi="Times New Roman" w:cs="Times New Roman"/>
          <w:color w:val="FF0000"/>
          <w:sz w:val="24"/>
          <w:szCs w:val="24"/>
        </w:rPr>
      </w:pPr>
      <w:r w:rsidRPr="00433795">
        <w:rPr>
          <w:rFonts w:ascii="Times New Roman" w:hAnsi="Times New Roman" w:cs="Times New Roman"/>
          <w:color w:val="000000"/>
          <w:sz w:val="24"/>
          <w:szCs w:val="24"/>
          <w:shd w:val="clear" w:color="auto" w:fill="FFFFFF"/>
        </w:rPr>
        <w:t>Teisma</w:t>
      </w:r>
      <w:r w:rsidR="00433795" w:rsidRPr="00433795">
        <w:rPr>
          <w:rFonts w:ascii="Times New Roman" w:hAnsi="Times New Roman" w:cs="Times New Roman"/>
          <w:color w:val="000000"/>
          <w:sz w:val="24"/>
          <w:szCs w:val="24"/>
          <w:shd w:val="clear" w:color="auto" w:fill="FFFFFF"/>
        </w:rPr>
        <w:t xml:space="preserve">s </w:t>
      </w:r>
      <w:r w:rsidRPr="00433795">
        <w:rPr>
          <w:rFonts w:ascii="Times New Roman" w:hAnsi="Times New Roman" w:cs="Times New Roman"/>
          <w:color w:val="000000"/>
          <w:sz w:val="24"/>
          <w:szCs w:val="24"/>
          <w:shd w:val="clear" w:color="auto" w:fill="FFFFFF"/>
        </w:rPr>
        <w:t xml:space="preserve">nurodė, kad </w:t>
      </w:r>
      <w:r w:rsidR="00433795" w:rsidRPr="00433795">
        <w:rPr>
          <w:rFonts w:ascii="Times New Roman" w:hAnsi="Times New Roman" w:cs="Times New Roman"/>
          <w:sz w:val="24"/>
          <w:szCs w:val="24"/>
        </w:rPr>
        <w:t>n</w:t>
      </w:r>
      <w:r w:rsidRPr="00433795">
        <w:rPr>
          <w:rFonts w:ascii="Times New Roman" w:hAnsi="Times New Roman" w:cs="Times New Roman"/>
          <w:sz w:val="24"/>
          <w:szCs w:val="24"/>
        </w:rPr>
        <w:t>epaisant to, jog pagal bendrą taisyklę daugiabučio namo šilumos punkto įrenginiai yra šio namo butų ir patalpų savininkų bendroji dalinė nuosavybė (</w:t>
      </w:r>
      <w:r w:rsidR="00433795" w:rsidRPr="00433795">
        <w:rPr>
          <w:rFonts w:ascii="Times New Roman" w:hAnsi="Times New Roman" w:cs="Times New Roman"/>
          <w:sz w:val="24"/>
          <w:szCs w:val="24"/>
        </w:rPr>
        <w:t>LR š</w:t>
      </w:r>
      <w:r w:rsidRPr="00433795">
        <w:rPr>
          <w:rFonts w:ascii="Times New Roman" w:hAnsi="Times New Roman" w:cs="Times New Roman"/>
          <w:sz w:val="24"/>
          <w:szCs w:val="24"/>
        </w:rPr>
        <w:t>ilumos ūkio įstatymo 2 str</w:t>
      </w:r>
      <w:r w:rsidR="00433795" w:rsidRPr="00433795">
        <w:rPr>
          <w:rFonts w:ascii="Times New Roman" w:hAnsi="Times New Roman" w:cs="Times New Roman"/>
          <w:sz w:val="24"/>
          <w:szCs w:val="24"/>
        </w:rPr>
        <w:t>aipsnio</w:t>
      </w:r>
      <w:r w:rsidRPr="00433795">
        <w:rPr>
          <w:rFonts w:ascii="Times New Roman" w:hAnsi="Times New Roman" w:cs="Times New Roman"/>
          <w:sz w:val="24"/>
          <w:szCs w:val="24"/>
        </w:rPr>
        <w:t xml:space="preserve"> 44 d</w:t>
      </w:r>
      <w:r w:rsidR="00433795" w:rsidRPr="00433795">
        <w:rPr>
          <w:rFonts w:ascii="Times New Roman" w:hAnsi="Times New Roman" w:cs="Times New Roman"/>
          <w:sz w:val="24"/>
          <w:szCs w:val="24"/>
        </w:rPr>
        <w:t>alis</w:t>
      </w:r>
      <w:r w:rsidRPr="00433795">
        <w:rPr>
          <w:rFonts w:ascii="Times New Roman" w:hAnsi="Times New Roman" w:cs="Times New Roman"/>
          <w:sz w:val="24"/>
          <w:szCs w:val="24"/>
        </w:rPr>
        <w:t>, 24 str</w:t>
      </w:r>
      <w:r w:rsidR="00433795" w:rsidRPr="00433795">
        <w:rPr>
          <w:rFonts w:ascii="Times New Roman" w:hAnsi="Times New Roman" w:cs="Times New Roman"/>
          <w:sz w:val="24"/>
          <w:szCs w:val="24"/>
        </w:rPr>
        <w:t>aipsnio</w:t>
      </w:r>
      <w:r w:rsidRPr="00433795">
        <w:rPr>
          <w:rFonts w:ascii="Times New Roman" w:hAnsi="Times New Roman" w:cs="Times New Roman"/>
          <w:sz w:val="24"/>
          <w:szCs w:val="24"/>
        </w:rPr>
        <w:t xml:space="preserve"> 1 d</w:t>
      </w:r>
      <w:r w:rsidR="00433795" w:rsidRPr="00433795">
        <w:rPr>
          <w:rFonts w:ascii="Times New Roman" w:hAnsi="Times New Roman" w:cs="Times New Roman"/>
          <w:sz w:val="24"/>
          <w:szCs w:val="24"/>
        </w:rPr>
        <w:t>alis</w:t>
      </w:r>
      <w:r w:rsidR="006C1333">
        <w:rPr>
          <w:rFonts w:ascii="Times New Roman" w:hAnsi="Times New Roman" w:cs="Times New Roman"/>
          <w:sz w:val="24"/>
          <w:szCs w:val="24"/>
        </w:rPr>
        <w:t>)</w:t>
      </w:r>
      <w:r w:rsidRPr="00433795">
        <w:rPr>
          <w:rFonts w:ascii="Times New Roman" w:hAnsi="Times New Roman" w:cs="Times New Roman"/>
          <w:sz w:val="24"/>
          <w:szCs w:val="24"/>
        </w:rPr>
        <w:t>, įstatymų leidėjas eksplicitiškai pripažįsta (numato) šios taisyklės išimtį reglamentuodamas (1) tiek bendrosios nuosavybės teisės į šilumos punktų įgijimą (</w:t>
      </w:r>
      <w:r w:rsidR="00722F84">
        <w:rPr>
          <w:rFonts w:ascii="Times New Roman" w:hAnsi="Times New Roman" w:cs="Times New Roman"/>
          <w:sz w:val="24"/>
          <w:szCs w:val="24"/>
        </w:rPr>
        <w:t>LR š</w:t>
      </w:r>
      <w:r w:rsidRPr="00433795">
        <w:rPr>
          <w:rFonts w:ascii="Times New Roman" w:hAnsi="Times New Roman" w:cs="Times New Roman"/>
          <w:sz w:val="24"/>
          <w:szCs w:val="24"/>
        </w:rPr>
        <w:t>ilumos ūkio įstatymo 24 str</w:t>
      </w:r>
      <w:r w:rsidR="006C1333">
        <w:rPr>
          <w:rFonts w:ascii="Times New Roman" w:hAnsi="Times New Roman" w:cs="Times New Roman"/>
          <w:sz w:val="24"/>
          <w:szCs w:val="24"/>
        </w:rPr>
        <w:t>aipsnio</w:t>
      </w:r>
      <w:r w:rsidRPr="00433795">
        <w:rPr>
          <w:rFonts w:ascii="Times New Roman" w:hAnsi="Times New Roman" w:cs="Times New Roman"/>
          <w:sz w:val="24"/>
          <w:szCs w:val="24"/>
        </w:rPr>
        <w:t xml:space="preserve"> 2 d</w:t>
      </w:r>
      <w:r w:rsidR="006C1333">
        <w:rPr>
          <w:rFonts w:ascii="Times New Roman" w:hAnsi="Times New Roman" w:cs="Times New Roman"/>
          <w:sz w:val="24"/>
          <w:szCs w:val="24"/>
        </w:rPr>
        <w:t>alis)</w:t>
      </w:r>
      <w:r w:rsidRPr="00433795">
        <w:rPr>
          <w:rFonts w:ascii="Times New Roman" w:hAnsi="Times New Roman" w:cs="Times New Roman"/>
          <w:sz w:val="24"/>
          <w:szCs w:val="24"/>
        </w:rPr>
        <w:t>, (2) tiek šilumos tiekėjams nuosavybės teise priklausančių šių punktų priežiūrą (eksploatavimą) (</w:t>
      </w:r>
      <w:r w:rsidR="00433795" w:rsidRPr="00433795">
        <w:rPr>
          <w:rFonts w:ascii="Times New Roman" w:hAnsi="Times New Roman" w:cs="Times New Roman"/>
          <w:sz w:val="24"/>
          <w:szCs w:val="24"/>
        </w:rPr>
        <w:t>LR š</w:t>
      </w:r>
      <w:r w:rsidRPr="00433795">
        <w:rPr>
          <w:rFonts w:ascii="Times New Roman" w:hAnsi="Times New Roman" w:cs="Times New Roman"/>
          <w:sz w:val="24"/>
          <w:szCs w:val="24"/>
        </w:rPr>
        <w:t>ilumos ūkio įstatymo 20 str</w:t>
      </w:r>
      <w:r w:rsidR="00433795" w:rsidRPr="00433795">
        <w:rPr>
          <w:rFonts w:ascii="Times New Roman" w:hAnsi="Times New Roman" w:cs="Times New Roman"/>
          <w:sz w:val="24"/>
          <w:szCs w:val="24"/>
        </w:rPr>
        <w:t>aipsnio</w:t>
      </w:r>
      <w:r w:rsidRPr="00433795">
        <w:rPr>
          <w:rFonts w:ascii="Times New Roman" w:hAnsi="Times New Roman" w:cs="Times New Roman"/>
          <w:sz w:val="24"/>
          <w:szCs w:val="24"/>
        </w:rPr>
        <w:t xml:space="preserve"> 1 d</w:t>
      </w:r>
      <w:r w:rsidR="00433795" w:rsidRPr="00433795">
        <w:rPr>
          <w:rFonts w:ascii="Times New Roman" w:hAnsi="Times New Roman" w:cs="Times New Roman"/>
          <w:sz w:val="24"/>
          <w:szCs w:val="24"/>
        </w:rPr>
        <w:t>alis)</w:t>
      </w:r>
      <w:r w:rsidRPr="00433795">
        <w:rPr>
          <w:rFonts w:ascii="Times New Roman" w:hAnsi="Times New Roman" w:cs="Times New Roman"/>
          <w:sz w:val="24"/>
          <w:szCs w:val="24"/>
        </w:rPr>
        <w:t xml:space="preserve">. Kitaip tariant, </w:t>
      </w:r>
      <w:r w:rsidRPr="006C1333">
        <w:rPr>
          <w:rFonts w:ascii="Times New Roman" w:hAnsi="Times New Roman" w:cs="Times New Roman"/>
          <w:b/>
          <w:bCs/>
          <w:sz w:val="24"/>
          <w:szCs w:val="24"/>
        </w:rPr>
        <w:t>įstatymų leidėjas šilumos punktų, kurie nuosavybės teise priklauso šilumos tiekėjams, nevertina kaip butų ir kitų patalpų savininkų bendrosios dalinės nuosavybės šių punktų priežiūros (eksploatavimo) tikslais</w:t>
      </w:r>
      <w:r w:rsidRPr="006C1333">
        <w:rPr>
          <w:rFonts w:ascii="Times New Roman" w:hAnsi="Times New Roman" w:cs="Times New Roman"/>
          <w:sz w:val="24"/>
          <w:szCs w:val="24"/>
        </w:rPr>
        <w:t>.</w:t>
      </w:r>
    </w:p>
    <w:p w14:paraId="527404AF" w14:textId="25DF77E7" w:rsidR="00E32824" w:rsidRDefault="00487C0D" w:rsidP="007101A9">
      <w:pPr>
        <w:spacing w:before="120" w:after="120"/>
        <w:ind w:firstLine="851"/>
        <w:jc w:val="both"/>
        <w:rPr>
          <w:rFonts w:ascii="Times New Roman" w:hAnsi="Times New Roman" w:cs="Times New Roman"/>
          <w:sz w:val="24"/>
          <w:szCs w:val="24"/>
        </w:rPr>
      </w:pPr>
      <w:r w:rsidRPr="00C646D5">
        <w:rPr>
          <w:rFonts w:ascii="Times New Roman" w:hAnsi="Times New Roman" w:cs="Times New Roman"/>
          <w:sz w:val="24"/>
          <w:szCs w:val="24"/>
        </w:rPr>
        <w:t xml:space="preserve">Atsižvelgiant į tai, kad </w:t>
      </w:r>
      <w:r w:rsidRPr="00722F84">
        <w:rPr>
          <w:rFonts w:ascii="Times New Roman" w:hAnsi="Times New Roman" w:cs="Times New Roman"/>
          <w:sz w:val="24"/>
          <w:szCs w:val="24"/>
        </w:rPr>
        <w:t>užsitęsęs šilumos punktų nuosavybės ir investicijų grąžos klausimas gali sukelti neigiamas technines, ekonomines bei socialines pasekmes</w:t>
      </w:r>
      <w:r w:rsidRPr="003D27EB">
        <w:rPr>
          <w:rFonts w:ascii="Times New Roman" w:hAnsi="Times New Roman" w:cs="Times New Roman"/>
          <w:sz w:val="24"/>
          <w:szCs w:val="24"/>
        </w:rPr>
        <w:t>,</w:t>
      </w:r>
      <w:r w:rsidRPr="00C646D5">
        <w:rPr>
          <w:rFonts w:ascii="Times New Roman" w:hAnsi="Times New Roman" w:cs="Times New Roman"/>
          <w:b/>
          <w:bCs/>
          <w:sz w:val="24"/>
          <w:szCs w:val="24"/>
        </w:rPr>
        <w:t xml:space="preserve"> </w:t>
      </w:r>
      <w:r w:rsidR="00C646D5" w:rsidRPr="00C646D5">
        <w:rPr>
          <w:rFonts w:ascii="Times New Roman" w:hAnsi="Times New Roman" w:cs="Times New Roman"/>
          <w:b/>
          <w:bCs/>
          <w:color w:val="000000"/>
          <w:sz w:val="24"/>
          <w:szCs w:val="24"/>
        </w:rPr>
        <w:t>b</w:t>
      </w:r>
      <w:r w:rsidRPr="00C646D5">
        <w:rPr>
          <w:rFonts w:ascii="Times New Roman" w:hAnsi="Times New Roman" w:cs="Times New Roman"/>
          <w:b/>
          <w:bCs/>
          <w:color w:val="000000"/>
          <w:sz w:val="24"/>
          <w:szCs w:val="24"/>
        </w:rPr>
        <w:t xml:space="preserve">ūtina </w:t>
      </w:r>
      <w:r w:rsidR="003D27EB">
        <w:rPr>
          <w:rFonts w:ascii="Times New Roman" w:hAnsi="Times New Roman" w:cs="Times New Roman"/>
          <w:b/>
          <w:bCs/>
          <w:color w:val="000000"/>
          <w:sz w:val="24"/>
          <w:szCs w:val="24"/>
        </w:rPr>
        <w:t xml:space="preserve">nedelsiant </w:t>
      </w:r>
      <w:r w:rsidRPr="00C646D5">
        <w:rPr>
          <w:rFonts w:ascii="Times New Roman" w:hAnsi="Times New Roman" w:cs="Times New Roman"/>
          <w:b/>
          <w:bCs/>
          <w:color w:val="000000"/>
          <w:sz w:val="24"/>
          <w:szCs w:val="24"/>
        </w:rPr>
        <w:t>ištaisyti esamas teisines</w:t>
      </w:r>
      <w:r w:rsidRPr="00C646D5">
        <w:rPr>
          <w:rFonts w:ascii="Times New Roman" w:hAnsi="Times New Roman" w:cs="Times New Roman"/>
          <w:color w:val="000000"/>
          <w:sz w:val="24"/>
          <w:szCs w:val="24"/>
        </w:rPr>
        <w:t xml:space="preserve"> </w:t>
      </w:r>
      <w:r w:rsidRPr="00C646D5">
        <w:rPr>
          <w:rFonts w:ascii="Times New Roman" w:hAnsi="Times New Roman" w:cs="Times New Roman"/>
          <w:b/>
          <w:bCs/>
          <w:color w:val="000000"/>
          <w:sz w:val="24"/>
          <w:szCs w:val="24"/>
        </w:rPr>
        <w:t>spragas</w:t>
      </w:r>
      <w:r w:rsidRPr="00C646D5">
        <w:rPr>
          <w:rFonts w:ascii="Times New Roman" w:hAnsi="Times New Roman" w:cs="Times New Roman"/>
          <w:color w:val="000000"/>
          <w:sz w:val="24"/>
          <w:szCs w:val="24"/>
        </w:rPr>
        <w:t xml:space="preserve">, </w:t>
      </w:r>
      <w:r w:rsidRPr="00C646D5">
        <w:rPr>
          <w:rFonts w:ascii="Times New Roman" w:hAnsi="Times New Roman" w:cs="Times New Roman"/>
          <w:b/>
          <w:bCs/>
          <w:color w:val="000000"/>
          <w:sz w:val="24"/>
          <w:szCs w:val="24"/>
        </w:rPr>
        <w:t>sukurti</w:t>
      </w:r>
      <w:r w:rsidRPr="00C646D5">
        <w:rPr>
          <w:rFonts w:ascii="Times New Roman" w:hAnsi="Times New Roman" w:cs="Times New Roman"/>
          <w:color w:val="000000"/>
          <w:sz w:val="24"/>
          <w:szCs w:val="24"/>
        </w:rPr>
        <w:t xml:space="preserve"> LR šilumos ūkio įstatymo 2 straipsnio 44 dalies nuostatų </w:t>
      </w:r>
      <w:r w:rsidRPr="00C646D5">
        <w:rPr>
          <w:rFonts w:ascii="Times New Roman" w:hAnsi="Times New Roman" w:cs="Times New Roman"/>
          <w:b/>
          <w:bCs/>
          <w:color w:val="000000"/>
          <w:sz w:val="24"/>
          <w:szCs w:val="24"/>
        </w:rPr>
        <w:t>įgyvendinimo mechanizmą</w:t>
      </w:r>
      <w:r w:rsidRPr="00C646D5">
        <w:rPr>
          <w:rFonts w:ascii="Times New Roman" w:hAnsi="Times New Roman" w:cs="Times New Roman"/>
          <w:color w:val="000000"/>
          <w:sz w:val="24"/>
          <w:szCs w:val="24"/>
        </w:rPr>
        <w:t xml:space="preserve">. </w:t>
      </w:r>
      <w:r w:rsidRPr="00C646D5">
        <w:rPr>
          <w:rFonts w:ascii="Times New Roman" w:hAnsi="Times New Roman" w:cs="Times New Roman"/>
          <w:sz w:val="24"/>
          <w:szCs w:val="24"/>
        </w:rPr>
        <w:t>Bendro pobūdžio ir iš esmės naujos teisės normos, kurios nustatytų konkretų turtinį įpareigojimą daugiabučio namo butų ir kitų patalpų savininkams apmokėti (atlyginti) šilumos tiekėjams nuosavybės teise priklausančių šilumos punktų priežiūros (eksploatavimo) sąnaudas, turi turėti įstatyminį pagrindą.</w:t>
      </w:r>
    </w:p>
    <w:p w14:paraId="6C01D46E" w14:textId="22FF2529" w:rsidR="00676DE2" w:rsidRPr="00617BD9" w:rsidRDefault="001216AF" w:rsidP="007101A9">
      <w:pPr>
        <w:spacing w:before="120" w:after="120"/>
        <w:ind w:firstLine="851"/>
        <w:jc w:val="both"/>
        <w:rPr>
          <w:rFonts w:ascii="Times New Roman" w:hAnsi="Times New Roman" w:cs="Times New Roman"/>
          <w:b/>
          <w:bCs/>
          <w:sz w:val="24"/>
          <w:szCs w:val="24"/>
          <w:lang w:eastAsia="lt-LT" w:bidi="lt-LT"/>
        </w:rPr>
      </w:pPr>
      <w:r w:rsidRPr="001216AF">
        <w:rPr>
          <w:rFonts w:ascii="Times New Roman" w:hAnsi="Times New Roman" w:cs="Times New Roman"/>
          <w:sz w:val="24"/>
          <w:szCs w:val="24"/>
        </w:rPr>
        <w:t xml:space="preserve">Šiuo metu dalis šilumos vartotojų </w:t>
      </w:r>
      <w:r>
        <w:rPr>
          <w:rFonts w:ascii="Times New Roman" w:hAnsi="Times New Roman" w:cs="Times New Roman"/>
          <w:sz w:val="24"/>
          <w:szCs w:val="24"/>
        </w:rPr>
        <w:t>nuosavybės teise valdo</w:t>
      </w:r>
      <w:r w:rsidRPr="001216AF">
        <w:rPr>
          <w:rFonts w:ascii="Times New Roman" w:hAnsi="Times New Roman" w:cs="Times New Roman"/>
          <w:sz w:val="24"/>
          <w:szCs w:val="24"/>
        </w:rPr>
        <w:t xml:space="preserve"> šilumos punktus ir apmoka jų sąnaudas tiesiogiai, o kiti besinaudojantys svetimu turtu už tai nemoka ir todėl šias sąnaudas iš esmės </w:t>
      </w:r>
      <w:r w:rsidRPr="001216AF">
        <w:rPr>
          <w:rFonts w:ascii="Times New Roman" w:hAnsi="Times New Roman" w:cs="Times New Roman"/>
          <w:sz w:val="24"/>
          <w:szCs w:val="24"/>
        </w:rPr>
        <w:lastRenderedPageBreak/>
        <w:t>padengia visi šilumos vartotojai</w:t>
      </w:r>
      <w:r w:rsidR="00676DE2" w:rsidRPr="00676DE2">
        <w:rPr>
          <w:rFonts w:ascii="Times New Roman" w:hAnsi="Times New Roman" w:cs="Times New Roman"/>
          <w:sz w:val="24"/>
          <w:szCs w:val="24"/>
        </w:rPr>
        <w:t>.</w:t>
      </w:r>
      <w:r w:rsidRPr="00676DE2">
        <w:rPr>
          <w:rFonts w:ascii="Times New Roman" w:hAnsi="Times New Roman" w:cs="Times New Roman"/>
          <w:sz w:val="24"/>
          <w:szCs w:val="24"/>
        </w:rPr>
        <w:t xml:space="preserve"> </w:t>
      </w:r>
      <w:r w:rsidR="00676DE2" w:rsidRPr="00676DE2">
        <w:rPr>
          <w:rFonts w:ascii="Times New Roman" w:hAnsi="Times New Roman" w:cs="Times New Roman"/>
          <w:b/>
          <w:bCs/>
          <w:sz w:val="24"/>
          <w:szCs w:val="24"/>
        </w:rPr>
        <w:t>Susiklosčiusi praktika yra ydinga</w:t>
      </w:r>
      <w:r w:rsidR="00676DE2">
        <w:rPr>
          <w:rFonts w:ascii="Times New Roman" w:hAnsi="Times New Roman" w:cs="Times New Roman"/>
          <w:b/>
          <w:bCs/>
          <w:sz w:val="24"/>
          <w:szCs w:val="24"/>
        </w:rPr>
        <w:t>, o esamas reglamentavimas – akivaizdžiai neteisingas</w:t>
      </w:r>
      <w:r w:rsidRPr="001216AF">
        <w:rPr>
          <w:rFonts w:ascii="Times New Roman" w:hAnsi="Times New Roman" w:cs="Times New Roman"/>
          <w:sz w:val="24"/>
          <w:szCs w:val="24"/>
        </w:rPr>
        <w:t xml:space="preserve">. </w:t>
      </w:r>
      <w:r w:rsidRPr="001216AF">
        <w:rPr>
          <w:rFonts w:ascii="Times New Roman" w:hAnsi="Times New Roman" w:cs="Times New Roman"/>
          <w:sz w:val="24"/>
          <w:szCs w:val="24"/>
          <w:lang w:eastAsia="lt-LT" w:bidi="lt-LT"/>
        </w:rPr>
        <w:t xml:space="preserve">Įvertinus tai, kad pagal </w:t>
      </w:r>
      <w:r w:rsidR="00676DE2">
        <w:rPr>
          <w:rFonts w:ascii="Times New Roman" w:hAnsi="Times New Roman" w:cs="Times New Roman"/>
          <w:sz w:val="24"/>
          <w:szCs w:val="24"/>
          <w:lang w:eastAsia="lt-LT" w:bidi="lt-LT"/>
        </w:rPr>
        <w:t xml:space="preserve">šiuo metu galiojančio </w:t>
      </w:r>
      <w:r>
        <w:rPr>
          <w:rFonts w:ascii="Times New Roman" w:hAnsi="Times New Roman" w:cs="Times New Roman"/>
          <w:sz w:val="24"/>
          <w:szCs w:val="24"/>
          <w:lang w:eastAsia="lt-LT" w:bidi="lt-LT"/>
        </w:rPr>
        <w:t>LR š</w:t>
      </w:r>
      <w:r w:rsidRPr="001216AF">
        <w:rPr>
          <w:rFonts w:ascii="Times New Roman" w:hAnsi="Times New Roman" w:cs="Times New Roman"/>
          <w:sz w:val="24"/>
          <w:szCs w:val="24"/>
          <w:lang w:eastAsia="lt-LT" w:bidi="lt-LT"/>
        </w:rPr>
        <w:t>ilumos ūkio įstatymo 32 straipsnio 2 dalį draudžiama į šilumos kainą įtraukti sąnaudas, susijusias su šilumos punktų amortizacija ir eksploatacija ir tai, kad dabar galiojanti šilumos kaina</w:t>
      </w:r>
      <w:r w:rsidR="00617BD9">
        <w:rPr>
          <w:rFonts w:ascii="Times New Roman" w:hAnsi="Times New Roman" w:cs="Times New Roman"/>
          <w:sz w:val="24"/>
          <w:szCs w:val="24"/>
          <w:lang w:eastAsia="lt-LT" w:bidi="lt-LT"/>
        </w:rPr>
        <w:t xml:space="preserve"> ir </w:t>
      </w:r>
      <w:r w:rsidRPr="001216AF">
        <w:rPr>
          <w:rFonts w:ascii="Times New Roman" w:hAnsi="Times New Roman" w:cs="Times New Roman"/>
          <w:sz w:val="24"/>
          <w:szCs w:val="24"/>
          <w:lang w:eastAsia="lt-LT" w:bidi="lt-LT"/>
        </w:rPr>
        <w:t xml:space="preserve">priežiūros tarifas </w:t>
      </w:r>
      <w:r w:rsidRPr="00676DE2">
        <w:rPr>
          <w:rFonts w:ascii="Times New Roman" w:hAnsi="Times New Roman" w:cs="Times New Roman"/>
          <w:sz w:val="24"/>
          <w:szCs w:val="24"/>
          <w:lang w:eastAsia="lt-LT" w:bidi="lt-LT"/>
        </w:rPr>
        <w:t>šilumos tiekėjui, t. y. esamam punkto savininkui</w:t>
      </w:r>
      <w:r w:rsidRPr="001216AF">
        <w:rPr>
          <w:rFonts w:ascii="Times New Roman" w:hAnsi="Times New Roman" w:cs="Times New Roman"/>
          <w:sz w:val="24"/>
          <w:szCs w:val="24"/>
          <w:lang w:eastAsia="lt-LT" w:bidi="lt-LT"/>
        </w:rPr>
        <w:t xml:space="preserve">, nepadengia jokių sąnaudų, susijusių su šilumos punktų amortizacija ar kapitaliniu remontu, darytina išvada, kad </w:t>
      </w:r>
      <w:r w:rsidR="00676DE2">
        <w:rPr>
          <w:rFonts w:ascii="Times New Roman" w:hAnsi="Times New Roman" w:cs="Times New Roman"/>
          <w:sz w:val="24"/>
          <w:szCs w:val="24"/>
          <w:lang w:eastAsia="lt-LT" w:bidi="lt-LT"/>
        </w:rPr>
        <w:t>būtinas toks reglam</w:t>
      </w:r>
      <w:r w:rsidR="00617BD9">
        <w:rPr>
          <w:rFonts w:ascii="Times New Roman" w:hAnsi="Times New Roman" w:cs="Times New Roman"/>
          <w:sz w:val="24"/>
          <w:szCs w:val="24"/>
          <w:lang w:eastAsia="lt-LT" w:bidi="lt-LT"/>
        </w:rPr>
        <w:t>e</w:t>
      </w:r>
      <w:r w:rsidR="00676DE2">
        <w:rPr>
          <w:rFonts w:ascii="Times New Roman" w:hAnsi="Times New Roman" w:cs="Times New Roman"/>
          <w:sz w:val="24"/>
          <w:szCs w:val="24"/>
          <w:lang w:eastAsia="lt-LT" w:bidi="lt-LT"/>
        </w:rPr>
        <w:t>ntavimas, kad</w:t>
      </w:r>
      <w:r w:rsidRPr="001216AF">
        <w:rPr>
          <w:rFonts w:ascii="Times New Roman" w:hAnsi="Times New Roman" w:cs="Times New Roman"/>
          <w:sz w:val="24"/>
          <w:szCs w:val="24"/>
          <w:lang w:eastAsia="lt-LT" w:bidi="lt-LT"/>
        </w:rPr>
        <w:t xml:space="preserve"> </w:t>
      </w:r>
      <w:r w:rsidRPr="00617BD9">
        <w:rPr>
          <w:rFonts w:ascii="Times New Roman" w:hAnsi="Times New Roman" w:cs="Times New Roman"/>
          <w:sz w:val="24"/>
          <w:szCs w:val="24"/>
          <w:lang w:eastAsia="lt-LT" w:bidi="lt-LT"/>
        </w:rPr>
        <w:t xml:space="preserve">esami </w:t>
      </w:r>
      <w:r w:rsidR="00676DE2" w:rsidRPr="00617BD9">
        <w:rPr>
          <w:rFonts w:ascii="Times New Roman" w:hAnsi="Times New Roman" w:cs="Times New Roman"/>
          <w:sz w:val="24"/>
          <w:szCs w:val="24"/>
          <w:lang w:eastAsia="lt-LT" w:bidi="lt-LT"/>
        </w:rPr>
        <w:t>šilumos punktų</w:t>
      </w:r>
      <w:r w:rsidRPr="00617BD9">
        <w:rPr>
          <w:rFonts w:ascii="Times New Roman" w:hAnsi="Times New Roman" w:cs="Times New Roman"/>
          <w:sz w:val="24"/>
          <w:szCs w:val="24"/>
          <w:lang w:eastAsia="lt-LT" w:bidi="lt-LT"/>
        </w:rPr>
        <w:t xml:space="preserve"> naudotojai kompensuot</w:t>
      </w:r>
      <w:r w:rsidR="00676DE2" w:rsidRPr="00617BD9">
        <w:rPr>
          <w:rFonts w:ascii="Times New Roman" w:hAnsi="Times New Roman" w:cs="Times New Roman"/>
          <w:sz w:val="24"/>
          <w:szCs w:val="24"/>
          <w:lang w:eastAsia="lt-LT" w:bidi="lt-LT"/>
        </w:rPr>
        <w:t>ų</w:t>
      </w:r>
      <w:r w:rsidRPr="00617BD9">
        <w:rPr>
          <w:rFonts w:ascii="Times New Roman" w:hAnsi="Times New Roman" w:cs="Times New Roman"/>
          <w:sz w:val="24"/>
          <w:szCs w:val="24"/>
          <w:lang w:eastAsia="lt-LT" w:bidi="lt-LT"/>
        </w:rPr>
        <w:t xml:space="preserve"> savininko patirtas</w:t>
      </w:r>
      <w:r w:rsidRPr="001216AF">
        <w:rPr>
          <w:rFonts w:ascii="Times New Roman" w:hAnsi="Times New Roman" w:cs="Times New Roman"/>
          <w:sz w:val="24"/>
          <w:szCs w:val="24"/>
          <w:lang w:eastAsia="lt-LT" w:bidi="lt-LT"/>
        </w:rPr>
        <w:t xml:space="preserve"> turto </w:t>
      </w:r>
      <w:r w:rsidR="00617BD9">
        <w:rPr>
          <w:rFonts w:ascii="Times New Roman" w:hAnsi="Times New Roman" w:cs="Times New Roman"/>
          <w:sz w:val="24"/>
          <w:szCs w:val="24"/>
          <w:lang w:eastAsia="lt-LT" w:bidi="lt-LT"/>
        </w:rPr>
        <w:t>aptarnavimo</w:t>
      </w:r>
      <w:r w:rsidRPr="001216AF">
        <w:rPr>
          <w:rFonts w:ascii="Times New Roman" w:hAnsi="Times New Roman" w:cs="Times New Roman"/>
          <w:sz w:val="24"/>
          <w:szCs w:val="24"/>
          <w:lang w:eastAsia="lt-LT" w:bidi="lt-LT"/>
        </w:rPr>
        <w:t xml:space="preserve"> išlaidas, </w:t>
      </w:r>
      <w:r w:rsidRPr="003D27EB">
        <w:rPr>
          <w:rFonts w:ascii="Times New Roman" w:hAnsi="Times New Roman" w:cs="Times New Roman"/>
          <w:sz w:val="24"/>
          <w:szCs w:val="24"/>
          <w:lang w:eastAsia="lt-LT" w:bidi="lt-LT"/>
        </w:rPr>
        <w:t xml:space="preserve">taip užtikrinant teisėto turto savininko teisę </w:t>
      </w:r>
      <w:r w:rsidRPr="001216AF">
        <w:rPr>
          <w:rFonts w:ascii="Times New Roman" w:hAnsi="Times New Roman" w:cs="Times New Roman"/>
          <w:sz w:val="24"/>
          <w:szCs w:val="24"/>
          <w:lang w:eastAsia="lt-LT" w:bidi="lt-LT"/>
        </w:rPr>
        <w:t xml:space="preserve">į jo nuosavybės apsaugą. Siekiant teisinio aiškumo, užtikrinančio šilumos punktų eksploatavimo teisingą investicijų atlyginimą šilumos punktų savininkams, </w:t>
      </w:r>
      <w:r w:rsidR="00676DE2" w:rsidRPr="00617BD9">
        <w:rPr>
          <w:rFonts w:ascii="Times New Roman" w:hAnsi="Times New Roman" w:cs="Times New Roman"/>
          <w:b/>
          <w:bCs/>
          <w:sz w:val="24"/>
          <w:szCs w:val="24"/>
          <w:lang w:eastAsia="lt-LT" w:bidi="lt-LT"/>
        </w:rPr>
        <w:t xml:space="preserve">Lietuvos šiliumos tiekėjų asociacija siūlo </w:t>
      </w:r>
      <w:r w:rsidR="004D11B9" w:rsidRPr="00617BD9">
        <w:rPr>
          <w:rFonts w:ascii="Times New Roman" w:hAnsi="Times New Roman" w:cs="Times New Roman"/>
          <w:b/>
          <w:bCs/>
          <w:sz w:val="24"/>
          <w:szCs w:val="24"/>
          <w:lang w:eastAsia="lt-LT" w:bidi="lt-LT"/>
        </w:rPr>
        <w:t>pakeisti LR šilumos ūkio įstatymo 32 straipsnio 2 dalį išdėstant ją taip:</w:t>
      </w:r>
    </w:p>
    <w:p w14:paraId="5A1F3829" w14:textId="01957A1A" w:rsidR="004D11B9" w:rsidRPr="004D11B9" w:rsidRDefault="004D11B9" w:rsidP="007101A9">
      <w:pPr>
        <w:spacing w:before="120" w:after="120"/>
        <w:ind w:firstLine="810"/>
        <w:jc w:val="both"/>
        <w:rPr>
          <w:rFonts w:ascii="Times New Roman" w:hAnsi="Times New Roman" w:cs="Times New Roman"/>
          <w:sz w:val="24"/>
          <w:szCs w:val="24"/>
        </w:rPr>
      </w:pPr>
      <w:r w:rsidRPr="004D11B9">
        <w:rPr>
          <w:rFonts w:ascii="Times New Roman" w:hAnsi="Times New Roman" w:cs="Times New Roman"/>
          <w:sz w:val="24"/>
          <w:szCs w:val="24"/>
          <w:lang w:eastAsia="lt-LT" w:bidi="lt-LT"/>
        </w:rPr>
        <w:t>„</w:t>
      </w:r>
      <w:r w:rsidRPr="004D11B9">
        <w:rPr>
          <w:rFonts w:ascii="Times New Roman" w:hAnsi="Times New Roman" w:cs="Times New Roman"/>
          <w:sz w:val="24"/>
          <w:szCs w:val="24"/>
        </w:rPr>
        <w:t>2. Šilumos ir (ar) karšto vandens kainos grindžiamos tiekėjo būtinomis (valstybės normuojamomis) šilumos ar karšto vandens ruošimo (pirkimo), perdavimo, įvadinių atsiskaitomųjų šilumos ir (ar) karšto vandens apskaitos prietaisų įrengimo, priežiūros ir patikros, sąskaitų (mokėjimo pranešimų) už šilumą ir (ar) karštą vandenį parengimo ir pateikimo vartotojams bei apskaitos sąnaudomis. Turto nuomos mokesčiai ir kitos sąnaudos, nesusiję su šilumos ir (ar) karšto vandens tiekimo veikla, negali būti įtraukiami į šilumos ar karšto vandens kainas. Į šilumos ar karšto vandens kainas negali būti įtraukiamos jokios sąnaudos, susijusios su pastatų vidaus šildymo (</w:t>
      </w:r>
      <w:r w:rsidR="00617BD9" w:rsidRPr="00617BD9">
        <w:rPr>
          <w:strike/>
        </w:rPr>
        <w:t>įskaitant ir šilumos punktus</w:t>
      </w:r>
      <w:r w:rsidR="00617BD9" w:rsidRPr="007D2C0E">
        <w:rPr>
          <w:rFonts w:ascii="Times New Roman" w:hAnsi="Times New Roman" w:cs="Times New Roman"/>
          <w:b/>
          <w:bCs/>
          <w:sz w:val="24"/>
          <w:szCs w:val="24"/>
        </w:rPr>
        <w:t xml:space="preserve"> </w:t>
      </w:r>
      <w:r w:rsidRPr="007D2C0E">
        <w:rPr>
          <w:rFonts w:ascii="Times New Roman" w:hAnsi="Times New Roman" w:cs="Times New Roman"/>
          <w:b/>
          <w:bCs/>
          <w:sz w:val="24"/>
          <w:szCs w:val="24"/>
        </w:rPr>
        <w:t>išskyrus</w:t>
      </w:r>
      <w:r w:rsidR="007D2C0E" w:rsidRPr="007D2C0E">
        <w:rPr>
          <w:rFonts w:ascii="Times New Roman" w:hAnsi="Times New Roman" w:cs="Times New Roman"/>
          <w:b/>
          <w:bCs/>
          <w:sz w:val="24"/>
          <w:szCs w:val="24"/>
        </w:rPr>
        <w:t xml:space="preserve"> šilumos punktų</w:t>
      </w:r>
      <w:r w:rsidR="007D2C0E">
        <w:rPr>
          <w:rFonts w:ascii="Times New Roman" w:hAnsi="Times New Roman" w:cs="Times New Roman"/>
          <w:b/>
          <w:bCs/>
          <w:sz w:val="24"/>
          <w:szCs w:val="24"/>
        </w:rPr>
        <w:t>,</w:t>
      </w:r>
      <w:r w:rsidRPr="007D2C0E">
        <w:rPr>
          <w:rFonts w:ascii="Times New Roman" w:hAnsi="Times New Roman" w:cs="Times New Roman"/>
          <w:b/>
          <w:bCs/>
          <w:sz w:val="24"/>
          <w:szCs w:val="24"/>
        </w:rPr>
        <w:t xml:space="preserve"> </w:t>
      </w:r>
      <w:r w:rsidR="007D2C0E" w:rsidRPr="007D2C0E">
        <w:rPr>
          <w:rFonts w:ascii="Times New Roman" w:hAnsi="Times New Roman" w:cs="Times New Roman"/>
          <w:b/>
          <w:bCs/>
          <w:sz w:val="24"/>
          <w:szCs w:val="24"/>
        </w:rPr>
        <w:t>nuosavybės teise priklausanči</w:t>
      </w:r>
      <w:r w:rsidR="007D2C0E">
        <w:rPr>
          <w:rFonts w:ascii="Times New Roman" w:hAnsi="Times New Roman" w:cs="Times New Roman"/>
          <w:b/>
          <w:bCs/>
          <w:sz w:val="24"/>
          <w:szCs w:val="24"/>
        </w:rPr>
        <w:t>ų</w:t>
      </w:r>
      <w:r w:rsidR="007D2C0E" w:rsidRPr="007D2C0E">
        <w:rPr>
          <w:rFonts w:ascii="Times New Roman" w:hAnsi="Times New Roman" w:cs="Times New Roman"/>
          <w:b/>
          <w:bCs/>
          <w:sz w:val="24"/>
          <w:szCs w:val="24"/>
        </w:rPr>
        <w:t xml:space="preserve"> šilumos ir (ar) karšto vandens tiekėjui ar tretiesiems asmenims,</w:t>
      </w:r>
      <w:r w:rsidRPr="007D2C0E">
        <w:rPr>
          <w:rFonts w:ascii="Times New Roman" w:hAnsi="Times New Roman" w:cs="Times New Roman"/>
          <w:b/>
          <w:bCs/>
          <w:sz w:val="24"/>
          <w:szCs w:val="24"/>
        </w:rPr>
        <w:t xml:space="preserve"> </w:t>
      </w:r>
      <w:r w:rsidR="00B04601" w:rsidRPr="003E082E">
        <w:rPr>
          <w:rFonts w:ascii="Times New Roman" w:hAnsi="Times New Roman" w:cs="Times New Roman"/>
          <w:b/>
          <w:bCs/>
          <w:sz w:val="24"/>
          <w:szCs w:val="24"/>
        </w:rPr>
        <w:t xml:space="preserve">eksploatavimo </w:t>
      </w:r>
      <w:r w:rsidR="00B04601">
        <w:rPr>
          <w:rFonts w:ascii="Times New Roman" w:hAnsi="Times New Roman" w:cs="Times New Roman"/>
          <w:b/>
          <w:bCs/>
          <w:sz w:val="24"/>
          <w:szCs w:val="24"/>
        </w:rPr>
        <w:t xml:space="preserve">ir </w:t>
      </w:r>
      <w:r w:rsidR="007D2C0E" w:rsidRPr="007D2C0E">
        <w:rPr>
          <w:rFonts w:ascii="Times New Roman" w:hAnsi="Times New Roman" w:cs="Times New Roman"/>
          <w:b/>
          <w:bCs/>
          <w:sz w:val="24"/>
          <w:szCs w:val="24"/>
        </w:rPr>
        <w:t>aptarnavimo sąnaudas</w:t>
      </w:r>
      <w:r w:rsidRPr="004D11B9">
        <w:rPr>
          <w:rFonts w:ascii="Times New Roman" w:hAnsi="Times New Roman" w:cs="Times New Roman"/>
          <w:sz w:val="24"/>
          <w:szCs w:val="24"/>
        </w:rPr>
        <w:t>) ir karšto vandens sistemomis. Apyvartinių taršos leidimų prekybos pajamos ar sąnaudos įvertinamos skaičiuojant šilumos kainas Šilumos kainų nustatymo metodikoje nustatyta tvarka.“.</w:t>
      </w:r>
    </w:p>
    <w:p w14:paraId="05F42796" w14:textId="11A1EF13" w:rsidR="001941B1" w:rsidRPr="00DA1991" w:rsidRDefault="001941B1" w:rsidP="007101A9">
      <w:pPr>
        <w:pStyle w:val="BodyTextIndent3"/>
        <w:spacing w:before="120"/>
        <w:ind w:left="0" w:right="7" w:firstLine="810"/>
        <w:jc w:val="both"/>
        <w:rPr>
          <w:rFonts w:ascii="Times New Roman" w:hAnsi="Times New Roman" w:cs="Times New Roman"/>
          <w:sz w:val="24"/>
          <w:szCs w:val="24"/>
        </w:rPr>
      </w:pPr>
      <w:r w:rsidRPr="00546926">
        <w:rPr>
          <w:rFonts w:ascii="Times New Roman" w:hAnsi="Times New Roman" w:cs="Times New Roman"/>
          <w:sz w:val="24"/>
          <w:szCs w:val="24"/>
        </w:rPr>
        <w:t xml:space="preserve">Prireikus esame pasiruošę pateikti papildomus argumentus ir </w:t>
      </w:r>
      <w:r w:rsidR="00E32824">
        <w:rPr>
          <w:rFonts w:ascii="Times New Roman" w:hAnsi="Times New Roman" w:cs="Times New Roman"/>
          <w:sz w:val="24"/>
          <w:szCs w:val="24"/>
        </w:rPr>
        <w:t>reikiamus projektus</w:t>
      </w:r>
      <w:r w:rsidRPr="00546926">
        <w:rPr>
          <w:rFonts w:ascii="Times New Roman" w:hAnsi="Times New Roman" w:cs="Times New Roman"/>
          <w:sz w:val="24"/>
          <w:szCs w:val="24"/>
        </w:rPr>
        <w:t>, taip pat visokeriopai padėti kilus neaiškumams ar abejonėms.</w:t>
      </w:r>
    </w:p>
    <w:p w14:paraId="41CEF0AB" w14:textId="0C94F589" w:rsidR="00C04791" w:rsidRDefault="00C04791" w:rsidP="007101A9">
      <w:pPr>
        <w:spacing w:before="120" w:after="120"/>
        <w:ind w:right="7"/>
        <w:jc w:val="both"/>
        <w:rPr>
          <w:rFonts w:ascii="Times New Roman" w:hAnsi="Times New Roman" w:cs="Times New Roman"/>
          <w:color w:val="000000"/>
          <w:sz w:val="24"/>
          <w:szCs w:val="24"/>
        </w:rPr>
      </w:pPr>
    </w:p>
    <w:p w14:paraId="499C4D2E" w14:textId="560F804F" w:rsidR="00A5649C" w:rsidRDefault="00A5649C" w:rsidP="004E5521">
      <w:pPr>
        <w:ind w:right="7"/>
        <w:jc w:val="both"/>
        <w:rPr>
          <w:rFonts w:ascii="Times New Roman" w:hAnsi="Times New Roman" w:cs="Times New Roman"/>
          <w:color w:val="000000"/>
          <w:sz w:val="24"/>
          <w:szCs w:val="24"/>
        </w:rPr>
      </w:pPr>
    </w:p>
    <w:p w14:paraId="2BBA2766" w14:textId="7F17DB62" w:rsidR="00843B15" w:rsidRDefault="00843B15" w:rsidP="004E5521">
      <w:pPr>
        <w:ind w:right="7"/>
        <w:jc w:val="both"/>
        <w:rPr>
          <w:rFonts w:ascii="Times New Roman" w:hAnsi="Times New Roman" w:cs="Times New Roman"/>
          <w:color w:val="000000"/>
          <w:sz w:val="24"/>
          <w:szCs w:val="24"/>
        </w:rPr>
      </w:pPr>
    </w:p>
    <w:p w14:paraId="51483D4E" w14:textId="77777777" w:rsidR="00FE387E" w:rsidRDefault="00FE387E" w:rsidP="004E5521">
      <w:pPr>
        <w:ind w:right="7"/>
        <w:jc w:val="both"/>
        <w:rPr>
          <w:rFonts w:ascii="Times New Roman" w:hAnsi="Times New Roman" w:cs="Times New Roman"/>
          <w:color w:val="000000"/>
          <w:sz w:val="24"/>
          <w:szCs w:val="24"/>
        </w:rPr>
      </w:pPr>
    </w:p>
    <w:p w14:paraId="7C421490" w14:textId="0E1BC590" w:rsidR="00843B15" w:rsidRDefault="00843B15" w:rsidP="004E5521">
      <w:pPr>
        <w:ind w:right="7"/>
        <w:jc w:val="both"/>
        <w:rPr>
          <w:rFonts w:ascii="Times New Roman" w:hAnsi="Times New Roman" w:cs="Times New Roman"/>
          <w:color w:val="000000"/>
          <w:sz w:val="24"/>
          <w:szCs w:val="24"/>
        </w:rPr>
      </w:pPr>
    </w:p>
    <w:p w14:paraId="5A76D27E" w14:textId="77777777" w:rsidR="00843B15" w:rsidRPr="004E5521" w:rsidRDefault="00843B15" w:rsidP="004E5521">
      <w:pPr>
        <w:ind w:right="7"/>
        <w:jc w:val="both"/>
        <w:rPr>
          <w:rFonts w:ascii="Times New Roman" w:hAnsi="Times New Roman" w:cs="Times New Roman"/>
          <w:color w:val="000000"/>
          <w:sz w:val="24"/>
          <w:szCs w:val="24"/>
        </w:rPr>
      </w:pPr>
    </w:p>
    <w:p w14:paraId="09B84B60" w14:textId="16D61622" w:rsidR="00033889" w:rsidRPr="00DD0221" w:rsidRDefault="00323228" w:rsidP="003074E3">
      <w:pPr>
        <w:ind w:right="7"/>
        <w:jc w:val="both"/>
        <w:rPr>
          <w:rFonts w:ascii="Times New Roman" w:hAnsi="Times New Roman" w:cs="Times New Roman"/>
          <w:sz w:val="24"/>
          <w:szCs w:val="24"/>
        </w:rPr>
      </w:pPr>
      <w:r>
        <w:rPr>
          <w:rFonts w:ascii="Times New Roman" w:hAnsi="Times New Roman" w:cs="Times New Roman"/>
          <w:sz w:val="24"/>
          <w:szCs w:val="24"/>
        </w:rPr>
        <w:t>Asociacijos</w:t>
      </w:r>
      <w:r w:rsidR="00AB7455">
        <w:rPr>
          <w:rFonts w:ascii="Times New Roman" w:hAnsi="Times New Roman" w:cs="Times New Roman"/>
          <w:sz w:val="24"/>
          <w:szCs w:val="24"/>
        </w:rPr>
        <w:t xml:space="preserve"> p</w:t>
      </w:r>
      <w:r w:rsidR="00033889" w:rsidRPr="00DD0221">
        <w:rPr>
          <w:rFonts w:ascii="Times New Roman" w:hAnsi="Times New Roman" w:cs="Times New Roman"/>
          <w:sz w:val="24"/>
          <w:szCs w:val="24"/>
        </w:rPr>
        <w:t xml:space="preserve">rezidentas </w:t>
      </w:r>
      <w:r w:rsidR="00DC36E6">
        <w:rPr>
          <w:rFonts w:ascii="Times New Roman" w:hAnsi="Times New Roman" w:cs="Times New Roman"/>
          <w:sz w:val="24"/>
          <w:szCs w:val="24"/>
        </w:rPr>
        <w:tab/>
      </w:r>
      <w:r w:rsidR="007B195A">
        <w:rPr>
          <w:rFonts w:ascii="Times New Roman" w:hAnsi="Times New Roman" w:cs="Times New Roman"/>
          <w:sz w:val="24"/>
          <w:szCs w:val="24"/>
        </w:rPr>
        <w:t xml:space="preserve"> </w:t>
      </w:r>
      <w:r w:rsidR="007B195A">
        <w:rPr>
          <w:rFonts w:ascii="Times New Roman" w:hAnsi="Times New Roman" w:cs="Times New Roman"/>
          <w:sz w:val="24"/>
          <w:szCs w:val="24"/>
        </w:rPr>
        <w:tab/>
      </w:r>
      <w:r w:rsidR="007B195A">
        <w:rPr>
          <w:rFonts w:ascii="Times New Roman" w:hAnsi="Times New Roman" w:cs="Times New Roman"/>
          <w:sz w:val="24"/>
          <w:szCs w:val="24"/>
        </w:rPr>
        <w:tab/>
      </w:r>
      <w:r w:rsidR="007D043D">
        <w:rPr>
          <w:rFonts w:ascii="Times New Roman" w:hAnsi="Times New Roman" w:cs="Times New Roman"/>
          <w:sz w:val="24"/>
          <w:szCs w:val="24"/>
        </w:rPr>
        <w:tab/>
      </w:r>
      <w:r w:rsidR="00033889" w:rsidRPr="00DD0221">
        <w:rPr>
          <w:rFonts w:ascii="Times New Roman" w:hAnsi="Times New Roman" w:cs="Times New Roman"/>
          <w:sz w:val="24"/>
          <w:szCs w:val="24"/>
        </w:rPr>
        <w:tab/>
        <w:t>dr. Valdas Lukoševičius</w:t>
      </w:r>
    </w:p>
    <w:p w14:paraId="2B6453AC" w14:textId="42EAA8D4" w:rsidR="00E20F12" w:rsidRPr="00DD0221" w:rsidRDefault="00E20F12" w:rsidP="003074E3">
      <w:pPr>
        <w:jc w:val="both"/>
        <w:rPr>
          <w:rFonts w:ascii="Times New Roman" w:hAnsi="Times New Roman" w:cs="Times New Roman"/>
          <w:sz w:val="24"/>
          <w:szCs w:val="24"/>
        </w:rPr>
      </w:pPr>
    </w:p>
    <w:p w14:paraId="082F7517" w14:textId="77777777" w:rsidR="00A344CD" w:rsidRDefault="00A344CD" w:rsidP="00E85E32">
      <w:pPr>
        <w:jc w:val="both"/>
        <w:rPr>
          <w:rFonts w:ascii="Times New Roman" w:hAnsi="Times New Roman" w:cs="Times New Roman"/>
          <w:sz w:val="24"/>
          <w:szCs w:val="24"/>
        </w:rPr>
      </w:pPr>
    </w:p>
    <w:p w14:paraId="48D9CA15" w14:textId="0C49B156" w:rsidR="00DC36E6" w:rsidRDefault="00DC36E6" w:rsidP="00E85E32">
      <w:pPr>
        <w:jc w:val="both"/>
        <w:rPr>
          <w:rFonts w:ascii="Times New Roman" w:hAnsi="Times New Roman" w:cs="Times New Roman"/>
          <w:sz w:val="24"/>
          <w:szCs w:val="24"/>
        </w:rPr>
      </w:pPr>
    </w:p>
    <w:p w14:paraId="0224D8A2" w14:textId="31A88622" w:rsidR="00A5649C" w:rsidRDefault="00A5649C" w:rsidP="00E85E32">
      <w:pPr>
        <w:jc w:val="both"/>
        <w:rPr>
          <w:rFonts w:ascii="Times New Roman" w:hAnsi="Times New Roman" w:cs="Times New Roman"/>
          <w:sz w:val="24"/>
          <w:szCs w:val="24"/>
        </w:rPr>
      </w:pPr>
    </w:p>
    <w:p w14:paraId="292E85BE" w14:textId="78CD971F" w:rsidR="00041285" w:rsidRDefault="00041285" w:rsidP="00E85E32">
      <w:pPr>
        <w:jc w:val="both"/>
        <w:rPr>
          <w:rFonts w:ascii="Times New Roman" w:hAnsi="Times New Roman" w:cs="Times New Roman"/>
          <w:sz w:val="24"/>
          <w:szCs w:val="24"/>
        </w:rPr>
      </w:pPr>
    </w:p>
    <w:p w14:paraId="27FB2ADC" w14:textId="69A7F710" w:rsidR="00041285" w:rsidRDefault="00041285" w:rsidP="00E85E32">
      <w:pPr>
        <w:jc w:val="both"/>
        <w:rPr>
          <w:rFonts w:ascii="Times New Roman" w:hAnsi="Times New Roman" w:cs="Times New Roman"/>
          <w:sz w:val="24"/>
          <w:szCs w:val="24"/>
        </w:rPr>
      </w:pPr>
    </w:p>
    <w:p w14:paraId="6BBE030B" w14:textId="73879BDA" w:rsidR="00041285" w:rsidRDefault="00041285" w:rsidP="00E85E32">
      <w:pPr>
        <w:jc w:val="both"/>
        <w:rPr>
          <w:rFonts w:ascii="Times New Roman" w:hAnsi="Times New Roman" w:cs="Times New Roman"/>
          <w:sz w:val="24"/>
          <w:szCs w:val="24"/>
        </w:rPr>
      </w:pPr>
    </w:p>
    <w:p w14:paraId="3472F8E6" w14:textId="39C36F64" w:rsidR="00041285" w:rsidRDefault="00041285" w:rsidP="00E85E32">
      <w:pPr>
        <w:jc w:val="both"/>
        <w:rPr>
          <w:rFonts w:ascii="Times New Roman" w:hAnsi="Times New Roman" w:cs="Times New Roman"/>
          <w:sz w:val="24"/>
          <w:szCs w:val="24"/>
        </w:rPr>
      </w:pPr>
    </w:p>
    <w:p w14:paraId="19950F05" w14:textId="09078F78" w:rsidR="00041285" w:rsidRDefault="00041285" w:rsidP="00E85E32">
      <w:pPr>
        <w:jc w:val="both"/>
        <w:rPr>
          <w:rFonts w:ascii="Times New Roman" w:hAnsi="Times New Roman" w:cs="Times New Roman"/>
          <w:sz w:val="24"/>
          <w:szCs w:val="24"/>
        </w:rPr>
      </w:pPr>
    </w:p>
    <w:p w14:paraId="0217AB11" w14:textId="610A4EB1" w:rsidR="00AE6C8C" w:rsidRDefault="00AE6C8C" w:rsidP="00E85E32">
      <w:pPr>
        <w:jc w:val="both"/>
        <w:rPr>
          <w:rFonts w:ascii="Times New Roman" w:hAnsi="Times New Roman" w:cs="Times New Roman"/>
          <w:sz w:val="24"/>
          <w:szCs w:val="24"/>
        </w:rPr>
      </w:pPr>
    </w:p>
    <w:p w14:paraId="4568BCDD" w14:textId="77777777" w:rsidR="00AE6C8C" w:rsidRDefault="00AE6C8C" w:rsidP="00E85E32">
      <w:pPr>
        <w:jc w:val="both"/>
        <w:rPr>
          <w:rFonts w:ascii="Times New Roman" w:hAnsi="Times New Roman" w:cs="Times New Roman"/>
          <w:sz w:val="24"/>
          <w:szCs w:val="24"/>
        </w:rPr>
      </w:pPr>
    </w:p>
    <w:p w14:paraId="436D42CB" w14:textId="51A84AAC" w:rsidR="00041285" w:rsidRDefault="00041285" w:rsidP="00E85E32">
      <w:pPr>
        <w:jc w:val="both"/>
        <w:rPr>
          <w:rFonts w:ascii="Times New Roman" w:hAnsi="Times New Roman" w:cs="Times New Roman"/>
          <w:sz w:val="24"/>
          <w:szCs w:val="24"/>
        </w:rPr>
      </w:pPr>
    </w:p>
    <w:p w14:paraId="40459C06" w14:textId="497F6F77" w:rsidR="00041285" w:rsidRDefault="00041285" w:rsidP="00E85E32">
      <w:pPr>
        <w:jc w:val="both"/>
        <w:rPr>
          <w:rFonts w:ascii="Times New Roman" w:hAnsi="Times New Roman" w:cs="Times New Roman"/>
          <w:sz w:val="24"/>
          <w:szCs w:val="24"/>
        </w:rPr>
      </w:pPr>
    </w:p>
    <w:p w14:paraId="38E4078A" w14:textId="2E6CA755" w:rsidR="00041285" w:rsidRDefault="00041285" w:rsidP="00E85E32">
      <w:pPr>
        <w:jc w:val="both"/>
        <w:rPr>
          <w:rFonts w:ascii="Times New Roman" w:hAnsi="Times New Roman" w:cs="Times New Roman"/>
          <w:sz w:val="24"/>
          <w:szCs w:val="24"/>
        </w:rPr>
      </w:pPr>
    </w:p>
    <w:p w14:paraId="11D834C2" w14:textId="77777777" w:rsidR="00041285" w:rsidRDefault="00041285" w:rsidP="00E85E32">
      <w:pPr>
        <w:jc w:val="both"/>
        <w:rPr>
          <w:rFonts w:ascii="Times New Roman" w:hAnsi="Times New Roman" w:cs="Times New Roman"/>
          <w:sz w:val="24"/>
          <w:szCs w:val="24"/>
        </w:rPr>
      </w:pPr>
    </w:p>
    <w:p w14:paraId="7AD6A6DC" w14:textId="77777777" w:rsidR="00C95D95" w:rsidRDefault="00C95D95" w:rsidP="00E85E32">
      <w:pPr>
        <w:jc w:val="both"/>
        <w:rPr>
          <w:rFonts w:ascii="Times New Roman" w:hAnsi="Times New Roman" w:cs="Times New Roman"/>
          <w:sz w:val="24"/>
          <w:szCs w:val="24"/>
        </w:rPr>
      </w:pPr>
    </w:p>
    <w:p w14:paraId="08BEEDF8" w14:textId="1FBC05DB" w:rsidR="00A5649C" w:rsidRDefault="00A5649C" w:rsidP="00E85E32">
      <w:pPr>
        <w:jc w:val="both"/>
        <w:rPr>
          <w:rFonts w:ascii="Times New Roman" w:hAnsi="Times New Roman" w:cs="Times New Roman"/>
          <w:sz w:val="24"/>
          <w:szCs w:val="24"/>
        </w:rPr>
      </w:pPr>
    </w:p>
    <w:p w14:paraId="0B397655" w14:textId="367D5134" w:rsidR="00A5649C" w:rsidRDefault="00A5649C" w:rsidP="00E85E32">
      <w:pPr>
        <w:jc w:val="both"/>
        <w:rPr>
          <w:rFonts w:ascii="Times New Roman" w:hAnsi="Times New Roman" w:cs="Times New Roman"/>
          <w:sz w:val="24"/>
          <w:szCs w:val="24"/>
        </w:rPr>
      </w:pPr>
    </w:p>
    <w:p w14:paraId="21AB9902" w14:textId="77777777" w:rsidR="00A5649C" w:rsidRDefault="00A5649C" w:rsidP="00E85E32">
      <w:pPr>
        <w:jc w:val="both"/>
        <w:rPr>
          <w:rFonts w:ascii="Times New Roman" w:hAnsi="Times New Roman" w:cs="Times New Roman"/>
          <w:sz w:val="24"/>
          <w:szCs w:val="24"/>
        </w:rPr>
      </w:pPr>
    </w:p>
    <w:p w14:paraId="1D56E2EF" w14:textId="40812DF6" w:rsidR="00B23349" w:rsidRPr="00DD0221" w:rsidRDefault="00F61E56" w:rsidP="00E85E32">
      <w:pPr>
        <w:jc w:val="both"/>
        <w:rPr>
          <w:rFonts w:ascii="Times New Roman" w:hAnsi="Times New Roman" w:cs="Times New Roman"/>
          <w:sz w:val="24"/>
          <w:szCs w:val="24"/>
        </w:rPr>
      </w:pPr>
      <w:r w:rsidRPr="00DD0221">
        <w:rPr>
          <w:rFonts w:ascii="Times New Roman" w:hAnsi="Times New Roman" w:cs="Times New Roman"/>
          <w:sz w:val="24"/>
          <w:szCs w:val="24"/>
        </w:rPr>
        <w:t xml:space="preserve">T. Gėdrimas, tel. </w:t>
      </w:r>
      <w:r w:rsidR="005C5E6E">
        <w:rPr>
          <w:rFonts w:ascii="Times New Roman" w:hAnsi="Times New Roman" w:cs="Times New Roman"/>
          <w:sz w:val="24"/>
          <w:szCs w:val="24"/>
        </w:rPr>
        <w:t>+370</w:t>
      </w:r>
      <w:r w:rsidRPr="00DD0221">
        <w:rPr>
          <w:rFonts w:ascii="Times New Roman" w:hAnsi="Times New Roman" w:cs="Times New Roman"/>
          <w:sz w:val="24"/>
          <w:szCs w:val="24"/>
        </w:rPr>
        <w:t xml:space="preserve"> </w:t>
      </w:r>
      <w:r w:rsidR="005C5E6E">
        <w:rPr>
          <w:rFonts w:ascii="Times New Roman" w:hAnsi="Times New Roman" w:cs="Times New Roman"/>
          <w:sz w:val="24"/>
          <w:szCs w:val="24"/>
        </w:rPr>
        <w:t>698</w:t>
      </w:r>
      <w:r w:rsidRPr="00DD0221">
        <w:rPr>
          <w:rFonts w:ascii="Times New Roman" w:hAnsi="Times New Roman" w:cs="Times New Roman"/>
          <w:sz w:val="24"/>
          <w:szCs w:val="24"/>
        </w:rPr>
        <w:t xml:space="preserve"> </w:t>
      </w:r>
      <w:r w:rsidR="005C5E6E">
        <w:rPr>
          <w:rFonts w:ascii="Times New Roman" w:hAnsi="Times New Roman" w:cs="Times New Roman"/>
          <w:sz w:val="24"/>
          <w:szCs w:val="24"/>
        </w:rPr>
        <w:t>78713</w:t>
      </w:r>
      <w:r w:rsidRPr="00DD0221">
        <w:rPr>
          <w:rFonts w:ascii="Times New Roman" w:hAnsi="Times New Roman" w:cs="Times New Roman"/>
          <w:sz w:val="24"/>
          <w:szCs w:val="24"/>
        </w:rPr>
        <w:t xml:space="preserve">, el. p.: </w:t>
      </w:r>
      <w:hyperlink r:id="rId10" w:history="1">
        <w:r w:rsidR="00B23349" w:rsidRPr="004C7DC5">
          <w:rPr>
            <w:rStyle w:val="Hyperlink"/>
            <w:rFonts w:ascii="Times New Roman" w:hAnsi="Times New Roman" w:cs="Times New Roman"/>
            <w:sz w:val="24"/>
            <w:szCs w:val="24"/>
          </w:rPr>
          <w:t>tomas@lsta.lt</w:t>
        </w:r>
      </w:hyperlink>
    </w:p>
    <w:sectPr w:rsidR="00B23349" w:rsidRPr="00DD0221" w:rsidSect="004E5521">
      <w:headerReference w:type="default" r:id="rId11"/>
      <w:pgSz w:w="11906" w:h="16838"/>
      <w:pgMar w:top="1260" w:right="851" w:bottom="810"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C3590" w14:textId="77777777" w:rsidR="00576EF2" w:rsidRDefault="00576EF2" w:rsidP="00D94E62">
      <w:r>
        <w:separator/>
      </w:r>
    </w:p>
  </w:endnote>
  <w:endnote w:type="continuationSeparator" w:id="0">
    <w:p w14:paraId="6D31942D" w14:textId="77777777" w:rsidR="00576EF2" w:rsidRDefault="00576EF2" w:rsidP="00D9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E5121" w14:textId="77777777" w:rsidR="00576EF2" w:rsidRDefault="00576EF2" w:rsidP="00D94E62">
      <w:r>
        <w:separator/>
      </w:r>
    </w:p>
  </w:footnote>
  <w:footnote w:type="continuationSeparator" w:id="0">
    <w:p w14:paraId="6527BCCD" w14:textId="77777777" w:rsidR="00576EF2" w:rsidRDefault="00576EF2" w:rsidP="00D94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483151"/>
      <w:docPartObj>
        <w:docPartGallery w:val="Page Numbers (Top of Page)"/>
        <w:docPartUnique/>
      </w:docPartObj>
    </w:sdtPr>
    <w:sdtEndPr>
      <w:rPr>
        <w:noProof/>
      </w:rPr>
    </w:sdtEndPr>
    <w:sdtContent>
      <w:p w14:paraId="4632E2C0" w14:textId="73422C2E" w:rsidR="00E20F12" w:rsidRDefault="00E20F1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4FD90CB" w14:textId="77777777" w:rsidR="00E20F12" w:rsidRDefault="00E20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3FF"/>
    <w:multiLevelType w:val="hybridMultilevel"/>
    <w:tmpl w:val="C60C7442"/>
    <w:lvl w:ilvl="0" w:tplc="D2406C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EF26DB0"/>
    <w:multiLevelType w:val="hybridMultilevel"/>
    <w:tmpl w:val="08EA6B66"/>
    <w:lvl w:ilvl="0" w:tplc="99C497B2">
      <w:start w:val="1"/>
      <w:numFmt w:val="upperLetter"/>
      <w:lvlText w:val="%1."/>
      <w:lvlJc w:val="left"/>
      <w:pPr>
        <w:ind w:left="411" w:hanging="360"/>
      </w:pPr>
      <w:rPr>
        <w:rFonts w:hint="default"/>
      </w:rPr>
    </w:lvl>
    <w:lvl w:ilvl="1" w:tplc="04270019" w:tentative="1">
      <w:start w:val="1"/>
      <w:numFmt w:val="lowerLetter"/>
      <w:lvlText w:val="%2."/>
      <w:lvlJc w:val="left"/>
      <w:pPr>
        <w:ind w:left="1131" w:hanging="360"/>
      </w:pPr>
    </w:lvl>
    <w:lvl w:ilvl="2" w:tplc="0427001B" w:tentative="1">
      <w:start w:val="1"/>
      <w:numFmt w:val="lowerRoman"/>
      <w:lvlText w:val="%3."/>
      <w:lvlJc w:val="right"/>
      <w:pPr>
        <w:ind w:left="1851" w:hanging="180"/>
      </w:pPr>
    </w:lvl>
    <w:lvl w:ilvl="3" w:tplc="0427000F" w:tentative="1">
      <w:start w:val="1"/>
      <w:numFmt w:val="decimal"/>
      <w:lvlText w:val="%4."/>
      <w:lvlJc w:val="left"/>
      <w:pPr>
        <w:ind w:left="2571" w:hanging="360"/>
      </w:pPr>
    </w:lvl>
    <w:lvl w:ilvl="4" w:tplc="04270019" w:tentative="1">
      <w:start w:val="1"/>
      <w:numFmt w:val="lowerLetter"/>
      <w:lvlText w:val="%5."/>
      <w:lvlJc w:val="left"/>
      <w:pPr>
        <w:ind w:left="3291" w:hanging="360"/>
      </w:pPr>
    </w:lvl>
    <w:lvl w:ilvl="5" w:tplc="0427001B" w:tentative="1">
      <w:start w:val="1"/>
      <w:numFmt w:val="lowerRoman"/>
      <w:lvlText w:val="%6."/>
      <w:lvlJc w:val="right"/>
      <w:pPr>
        <w:ind w:left="4011" w:hanging="180"/>
      </w:pPr>
    </w:lvl>
    <w:lvl w:ilvl="6" w:tplc="0427000F" w:tentative="1">
      <w:start w:val="1"/>
      <w:numFmt w:val="decimal"/>
      <w:lvlText w:val="%7."/>
      <w:lvlJc w:val="left"/>
      <w:pPr>
        <w:ind w:left="4731" w:hanging="360"/>
      </w:pPr>
    </w:lvl>
    <w:lvl w:ilvl="7" w:tplc="04270019" w:tentative="1">
      <w:start w:val="1"/>
      <w:numFmt w:val="lowerLetter"/>
      <w:lvlText w:val="%8."/>
      <w:lvlJc w:val="left"/>
      <w:pPr>
        <w:ind w:left="5451" w:hanging="360"/>
      </w:pPr>
    </w:lvl>
    <w:lvl w:ilvl="8" w:tplc="0427001B" w:tentative="1">
      <w:start w:val="1"/>
      <w:numFmt w:val="lowerRoman"/>
      <w:lvlText w:val="%9."/>
      <w:lvlJc w:val="right"/>
      <w:pPr>
        <w:ind w:left="6171" w:hanging="180"/>
      </w:pPr>
    </w:lvl>
  </w:abstractNum>
  <w:abstractNum w:abstractNumId="2" w15:restartNumberingAfterBreak="0">
    <w:nsid w:val="24256681"/>
    <w:multiLevelType w:val="hybridMultilevel"/>
    <w:tmpl w:val="036466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53C1C44"/>
    <w:multiLevelType w:val="hybridMultilevel"/>
    <w:tmpl w:val="24A2DC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59E4C5B"/>
    <w:multiLevelType w:val="hybridMultilevel"/>
    <w:tmpl w:val="79F67152"/>
    <w:lvl w:ilvl="0" w:tplc="254A0558">
      <w:start w:val="1"/>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2B7F52F9"/>
    <w:multiLevelType w:val="hybridMultilevel"/>
    <w:tmpl w:val="85847866"/>
    <w:lvl w:ilvl="0" w:tplc="CA383F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319D19C5"/>
    <w:multiLevelType w:val="hybridMultilevel"/>
    <w:tmpl w:val="6F265E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A576032"/>
    <w:multiLevelType w:val="hybridMultilevel"/>
    <w:tmpl w:val="2A209AEC"/>
    <w:lvl w:ilvl="0" w:tplc="66AEB18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F776D96"/>
    <w:multiLevelType w:val="hybridMultilevel"/>
    <w:tmpl w:val="CAB4F6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CD806DC"/>
    <w:multiLevelType w:val="hybridMultilevel"/>
    <w:tmpl w:val="6720D772"/>
    <w:lvl w:ilvl="0" w:tplc="89FADEE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0DE687D"/>
    <w:multiLevelType w:val="hybridMultilevel"/>
    <w:tmpl w:val="87A41AD0"/>
    <w:lvl w:ilvl="0" w:tplc="5D54C072">
      <w:start w:val="1"/>
      <w:numFmt w:val="decimal"/>
      <w:lvlText w:val="%1."/>
      <w:lvlJc w:val="left"/>
      <w:pPr>
        <w:ind w:left="1170" w:hanging="360"/>
      </w:pPr>
      <w:rPr>
        <w:rFonts w:eastAsia="Times New Roman"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0EE6816"/>
    <w:multiLevelType w:val="hybridMultilevel"/>
    <w:tmpl w:val="AEB8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EC5E3D"/>
    <w:multiLevelType w:val="hybridMultilevel"/>
    <w:tmpl w:val="C5EEB064"/>
    <w:lvl w:ilvl="0" w:tplc="7BFCDC6C">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6A3F48AE"/>
    <w:multiLevelType w:val="hybridMultilevel"/>
    <w:tmpl w:val="FBD23412"/>
    <w:lvl w:ilvl="0" w:tplc="E68AEDEE">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5C67ECE"/>
    <w:multiLevelType w:val="hybridMultilevel"/>
    <w:tmpl w:val="63BEC454"/>
    <w:lvl w:ilvl="0" w:tplc="8D34A3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8"/>
  </w:num>
  <w:num w:numId="2">
    <w:abstractNumId w:val="15"/>
  </w:num>
  <w:num w:numId="3">
    <w:abstractNumId w:val="4"/>
  </w:num>
  <w:num w:numId="4">
    <w:abstractNumId w:val="16"/>
  </w:num>
  <w:num w:numId="5">
    <w:abstractNumId w:val="5"/>
  </w:num>
  <w:num w:numId="6">
    <w:abstractNumId w:val="12"/>
  </w:num>
  <w:num w:numId="7">
    <w:abstractNumId w:val="10"/>
  </w:num>
  <w:num w:numId="8">
    <w:abstractNumId w:val="7"/>
  </w:num>
  <w:num w:numId="9">
    <w:abstractNumId w:val="0"/>
  </w:num>
  <w:num w:numId="10">
    <w:abstractNumId w:val="11"/>
  </w:num>
  <w:num w:numId="11">
    <w:abstractNumId w:val="14"/>
  </w:num>
  <w:num w:numId="12">
    <w:abstractNumId w:val="3"/>
  </w:num>
  <w:num w:numId="13">
    <w:abstractNumId w:val="1"/>
  </w:num>
  <w:num w:numId="14">
    <w:abstractNumId w:val="13"/>
  </w:num>
  <w:num w:numId="15">
    <w:abstractNumId w:val="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851"/>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03B07"/>
    <w:rsid w:val="000040D8"/>
    <w:rsid w:val="00012966"/>
    <w:rsid w:val="0002233D"/>
    <w:rsid w:val="000236F5"/>
    <w:rsid w:val="0002491E"/>
    <w:rsid w:val="00024E18"/>
    <w:rsid w:val="00031F23"/>
    <w:rsid w:val="00032D40"/>
    <w:rsid w:val="00033442"/>
    <w:rsid w:val="00033889"/>
    <w:rsid w:val="00041285"/>
    <w:rsid w:val="00042087"/>
    <w:rsid w:val="0004494A"/>
    <w:rsid w:val="0004626F"/>
    <w:rsid w:val="00050909"/>
    <w:rsid w:val="00052C64"/>
    <w:rsid w:val="0005510C"/>
    <w:rsid w:val="00061A02"/>
    <w:rsid w:val="00071CD6"/>
    <w:rsid w:val="000734E5"/>
    <w:rsid w:val="00074775"/>
    <w:rsid w:val="00081F03"/>
    <w:rsid w:val="00082754"/>
    <w:rsid w:val="000845B9"/>
    <w:rsid w:val="0008598B"/>
    <w:rsid w:val="00090C7C"/>
    <w:rsid w:val="00097546"/>
    <w:rsid w:val="000A3897"/>
    <w:rsid w:val="000A4729"/>
    <w:rsid w:val="000A6D76"/>
    <w:rsid w:val="000B31BF"/>
    <w:rsid w:val="000B409F"/>
    <w:rsid w:val="000B6F67"/>
    <w:rsid w:val="000C44E1"/>
    <w:rsid w:val="000D2419"/>
    <w:rsid w:val="000D475B"/>
    <w:rsid w:val="000D7154"/>
    <w:rsid w:val="000D7A63"/>
    <w:rsid w:val="000E0895"/>
    <w:rsid w:val="000F66F7"/>
    <w:rsid w:val="00106730"/>
    <w:rsid w:val="00110786"/>
    <w:rsid w:val="001216AF"/>
    <w:rsid w:val="0012623A"/>
    <w:rsid w:val="00131223"/>
    <w:rsid w:val="00133086"/>
    <w:rsid w:val="001331C7"/>
    <w:rsid w:val="00136026"/>
    <w:rsid w:val="00144D14"/>
    <w:rsid w:val="00146DAA"/>
    <w:rsid w:val="00147C4A"/>
    <w:rsid w:val="001528B1"/>
    <w:rsid w:val="0015528E"/>
    <w:rsid w:val="00160EB1"/>
    <w:rsid w:val="00162AB9"/>
    <w:rsid w:val="00170BAC"/>
    <w:rsid w:val="00171F16"/>
    <w:rsid w:val="00172EB8"/>
    <w:rsid w:val="00173B9F"/>
    <w:rsid w:val="00175F74"/>
    <w:rsid w:val="001807DA"/>
    <w:rsid w:val="00185076"/>
    <w:rsid w:val="00192042"/>
    <w:rsid w:val="001941B1"/>
    <w:rsid w:val="0019456F"/>
    <w:rsid w:val="001974B9"/>
    <w:rsid w:val="001A22C4"/>
    <w:rsid w:val="001A561A"/>
    <w:rsid w:val="001A61FC"/>
    <w:rsid w:val="001B125C"/>
    <w:rsid w:val="001B22AC"/>
    <w:rsid w:val="001B5513"/>
    <w:rsid w:val="001B69AF"/>
    <w:rsid w:val="001B6BFC"/>
    <w:rsid w:val="001B7769"/>
    <w:rsid w:val="001C0140"/>
    <w:rsid w:val="001C01B8"/>
    <w:rsid w:val="001C0650"/>
    <w:rsid w:val="001C4679"/>
    <w:rsid w:val="001D2803"/>
    <w:rsid w:val="001D2F9F"/>
    <w:rsid w:val="001E2A47"/>
    <w:rsid w:val="001E54C7"/>
    <w:rsid w:val="001E6155"/>
    <w:rsid w:val="001F1DD8"/>
    <w:rsid w:val="001F210A"/>
    <w:rsid w:val="001F61D6"/>
    <w:rsid w:val="001F6497"/>
    <w:rsid w:val="00200409"/>
    <w:rsid w:val="00202E5F"/>
    <w:rsid w:val="002054B0"/>
    <w:rsid w:val="00205513"/>
    <w:rsid w:val="002114F0"/>
    <w:rsid w:val="00212872"/>
    <w:rsid w:val="00213790"/>
    <w:rsid w:val="00214127"/>
    <w:rsid w:val="00223F9C"/>
    <w:rsid w:val="0023725E"/>
    <w:rsid w:val="00242789"/>
    <w:rsid w:val="00242E19"/>
    <w:rsid w:val="00245D4B"/>
    <w:rsid w:val="00247652"/>
    <w:rsid w:val="00250729"/>
    <w:rsid w:val="00252170"/>
    <w:rsid w:val="00260E6D"/>
    <w:rsid w:val="00264F4D"/>
    <w:rsid w:val="002654BF"/>
    <w:rsid w:val="00265E95"/>
    <w:rsid w:val="002663D4"/>
    <w:rsid w:val="002736C9"/>
    <w:rsid w:val="00276E67"/>
    <w:rsid w:val="00280470"/>
    <w:rsid w:val="0029030B"/>
    <w:rsid w:val="00293A9E"/>
    <w:rsid w:val="002A4923"/>
    <w:rsid w:val="002A5EE9"/>
    <w:rsid w:val="002A69E1"/>
    <w:rsid w:val="002B0209"/>
    <w:rsid w:val="002B15A2"/>
    <w:rsid w:val="002B3BF6"/>
    <w:rsid w:val="002B6F15"/>
    <w:rsid w:val="002C06BA"/>
    <w:rsid w:val="002C0892"/>
    <w:rsid w:val="002C1C25"/>
    <w:rsid w:val="002C3937"/>
    <w:rsid w:val="002C44AE"/>
    <w:rsid w:val="002D1748"/>
    <w:rsid w:val="002D26F4"/>
    <w:rsid w:val="002D28FD"/>
    <w:rsid w:val="002D39B4"/>
    <w:rsid w:val="002D5001"/>
    <w:rsid w:val="002D578C"/>
    <w:rsid w:val="002E546B"/>
    <w:rsid w:val="002E6DC2"/>
    <w:rsid w:val="002E7217"/>
    <w:rsid w:val="002F0D72"/>
    <w:rsid w:val="002F2FDA"/>
    <w:rsid w:val="00300E20"/>
    <w:rsid w:val="00304562"/>
    <w:rsid w:val="00304641"/>
    <w:rsid w:val="00305623"/>
    <w:rsid w:val="00305B52"/>
    <w:rsid w:val="003074E3"/>
    <w:rsid w:val="00315A37"/>
    <w:rsid w:val="0032241B"/>
    <w:rsid w:val="00323228"/>
    <w:rsid w:val="003266ED"/>
    <w:rsid w:val="00334428"/>
    <w:rsid w:val="003347D9"/>
    <w:rsid w:val="00340E29"/>
    <w:rsid w:val="00341B95"/>
    <w:rsid w:val="003428DA"/>
    <w:rsid w:val="00351605"/>
    <w:rsid w:val="00362B31"/>
    <w:rsid w:val="00366467"/>
    <w:rsid w:val="003670EE"/>
    <w:rsid w:val="00374195"/>
    <w:rsid w:val="00375076"/>
    <w:rsid w:val="00381E04"/>
    <w:rsid w:val="003922BA"/>
    <w:rsid w:val="00393923"/>
    <w:rsid w:val="00394E4E"/>
    <w:rsid w:val="003A034E"/>
    <w:rsid w:val="003A12DF"/>
    <w:rsid w:val="003A42A4"/>
    <w:rsid w:val="003A42EB"/>
    <w:rsid w:val="003A6331"/>
    <w:rsid w:val="003A6596"/>
    <w:rsid w:val="003B09FC"/>
    <w:rsid w:val="003B7217"/>
    <w:rsid w:val="003C19AC"/>
    <w:rsid w:val="003D27EB"/>
    <w:rsid w:val="003D4459"/>
    <w:rsid w:val="003E082E"/>
    <w:rsid w:val="003E3162"/>
    <w:rsid w:val="003E471E"/>
    <w:rsid w:val="003E506D"/>
    <w:rsid w:val="003F1D95"/>
    <w:rsid w:val="003F648B"/>
    <w:rsid w:val="00400C00"/>
    <w:rsid w:val="00401694"/>
    <w:rsid w:val="004027E6"/>
    <w:rsid w:val="0040294C"/>
    <w:rsid w:val="0040499B"/>
    <w:rsid w:val="004060DA"/>
    <w:rsid w:val="0041192E"/>
    <w:rsid w:val="00416F4A"/>
    <w:rsid w:val="00422415"/>
    <w:rsid w:val="00427912"/>
    <w:rsid w:val="00433795"/>
    <w:rsid w:val="0043705D"/>
    <w:rsid w:val="004413C1"/>
    <w:rsid w:val="00441D4F"/>
    <w:rsid w:val="004427C7"/>
    <w:rsid w:val="00442A01"/>
    <w:rsid w:val="00443F8F"/>
    <w:rsid w:val="00445B35"/>
    <w:rsid w:val="00447137"/>
    <w:rsid w:val="004506D9"/>
    <w:rsid w:val="00455AF4"/>
    <w:rsid w:val="0046489B"/>
    <w:rsid w:val="00474A5B"/>
    <w:rsid w:val="00477229"/>
    <w:rsid w:val="00483E27"/>
    <w:rsid w:val="004864A5"/>
    <w:rsid w:val="00486D0F"/>
    <w:rsid w:val="00487C0D"/>
    <w:rsid w:val="00493A05"/>
    <w:rsid w:val="00494B48"/>
    <w:rsid w:val="00494DCD"/>
    <w:rsid w:val="004A5347"/>
    <w:rsid w:val="004A5DE0"/>
    <w:rsid w:val="004B08FD"/>
    <w:rsid w:val="004C22BE"/>
    <w:rsid w:val="004C4D63"/>
    <w:rsid w:val="004D11B9"/>
    <w:rsid w:val="004D2D71"/>
    <w:rsid w:val="004D57C5"/>
    <w:rsid w:val="004D5F63"/>
    <w:rsid w:val="004D7680"/>
    <w:rsid w:val="004E5521"/>
    <w:rsid w:val="004F237A"/>
    <w:rsid w:val="004F6C42"/>
    <w:rsid w:val="004F6F93"/>
    <w:rsid w:val="00501C43"/>
    <w:rsid w:val="00514DF3"/>
    <w:rsid w:val="00521820"/>
    <w:rsid w:val="00532A02"/>
    <w:rsid w:val="0053485F"/>
    <w:rsid w:val="005376B9"/>
    <w:rsid w:val="00546926"/>
    <w:rsid w:val="00546EC4"/>
    <w:rsid w:val="00547DD6"/>
    <w:rsid w:val="00554DAA"/>
    <w:rsid w:val="005572EA"/>
    <w:rsid w:val="0056447E"/>
    <w:rsid w:val="005702AA"/>
    <w:rsid w:val="00574E9C"/>
    <w:rsid w:val="005759FB"/>
    <w:rsid w:val="005764F7"/>
    <w:rsid w:val="0057673E"/>
    <w:rsid w:val="00576EF2"/>
    <w:rsid w:val="00577B06"/>
    <w:rsid w:val="00582A12"/>
    <w:rsid w:val="00583408"/>
    <w:rsid w:val="00585DD2"/>
    <w:rsid w:val="00585DEA"/>
    <w:rsid w:val="00586FAD"/>
    <w:rsid w:val="00587524"/>
    <w:rsid w:val="00587C78"/>
    <w:rsid w:val="00594600"/>
    <w:rsid w:val="00597ADD"/>
    <w:rsid w:val="005A234D"/>
    <w:rsid w:val="005B1E0E"/>
    <w:rsid w:val="005C03EC"/>
    <w:rsid w:val="005C05C8"/>
    <w:rsid w:val="005C0C16"/>
    <w:rsid w:val="005C5E6E"/>
    <w:rsid w:val="005D0E5A"/>
    <w:rsid w:val="005D1A6E"/>
    <w:rsid w:val="005D3F7A"/>
    <w:rsid w:val="005E55C5"/>
    <w:rsid w:val="005F170E"/>
    <w:rsid w:val="005F7BFD"/>
    <w:rsid w:val="00604E8B"/>
    <w:rsid w:val="006123E2"/>
    <w:rsid w:val="006150A1"/>
    <w:rsid w:val="00617BD9"/>
    <w:rsid w:val="0062013E"/>
    <w:rsid w:val="0062243A"/>
    <w:rsid w:val="006300DE"/>
    <w:rsid w:val="00632B30"/>
    <w:rsid w:val="00635D49"/>
    <w:rsid w:val="00636386"/>
    <w:rsid w:val="006363E1"/>
    <w:rsid w:val="00637A52"/>
    <w:rsid w:val="00637A96"/>
    <w:rsid w:val="00642FC7"/>
    <w:rsid w:val="00646628"/>
    <w:rsid w:val="00653944"/>
    <w:rsid w:val="006566BA"/>
    <w:rsid w:val="0066400A"/>
    <w:rsid w:val="00665B00"/>
    <w:rsid w:val="00670C18"/>
    <w:rsid w:val="00676044"/>
    <w:rsid w:val="00676DE2"/>
    <w:rsid w:val="006820BB"/>
    <w:rsid w:val="0069623B"/>
    <w:rsid w:val="006A24C0"/>
    <w:rsid w:val="006A4F7A"/>
    <w:rsid w:val="006A6087"/>
    <w:rsid w:val="006B2AB0"/>
    <w:rsid w:val="006C0DBC"/>
    <w:rsid w:val="006C1333"/>
    <w:rsid w:val="006C18D8"/>
    <w:rsid w:val="006C27B7"/>
    <w:rsid w:val="006D3CD2"/>
    <w:rsid w:val="006D484B"/>
    <w:rsid w:val="006D7702"/>
    <w:rsid w:val="006E307E"/>
    <w:rsid w:val="006F1C17"/>
    <w:rsid w:val="006F56B1"/>
    <w:rsid w:val="00701B54"/>
    <w:rsid w:val="00705F98"/>
    <w:rsid w:val="007078F0"/>
    <w:rsid w:val="007101A9"/>
    <w:rsid w:val="0071203B"/>
    <w:rsid w:val="00714831"/>
    <w:rsid w:val="00715157"/>
    <w:rsid w:val="0071635D"/>
    <w:rsid w:val="0071647F"/>
    <w:rsid w:val="00722E5F"/>
    <w:rsid w:val="00722F84"/>
    <w:rsid w:val="00726EF0"/>
    <w:rsid w:val="00742275"/>
    <w:rsid w:val="00746FE2"/>
    <w:rsid w:val="0075342E"/>
    <w:rsid w:val="0075345E"/>
    <w:rsid w:val="00761163"/>
    <w:rsid w:val="00765BC0"/>
    <w:rsid w:val="00765BE7"/>
    <w:rsid w:val="00774BCA"/>
    <w:rsid w:val="007754F7"/>
    <w:rsid w:val="00780EAE"/>
    <w:rsid w:val="00783FAF"/>
    <w:rsid w:val="00787A07"/>
    <w:rsid w:val="0079108B"/>
    <w:rsid w:val="00794685"/>
    <w:rsid w:val="00795EE5"/>
    <w:rsid w:val="007A17C1"/>
    <w:rsid w:val="007A1D1A"/>
    <w:rsid w:val="007A2A92"/>
    <w:rsid w:val="007A70F0"/>
    <w:rsid w:val="007B0447"/>
    <w:rsid w:val="007B05B2"/>
    <w:rsid w:val="007B195A"/>
    <w:rsid w:val="007B20A5"/>
    <w:rsid w:val="007B35F4"/>
    <w:rsid w:val="007B5E85"/>
    <w:rsid w:val="007C0397"/>
    <w:rsid w:val="007C090D"/>
    <w:rsid w:val="007C1678"/>
    <w:rsid w:val="007C6502"/>
    <w:rsid w:val="007D043D"/>
    <w:rsid w:val="007D2C0E"/>
    <w:rsid w:val="007D526B"/>
    <w:rsid w:val="007D6398"/>
    <w:rsid w:val="007E08D5"/>
    <w:rsid w:val="007E0EB5"/>
    <w:rsid w:val="007E1AB4"/>
    <w:rsid w:val="007E2E3B"/>
    <w:rsid w:val="007E5CEB"/>
    <w:rsid w:val="007E6E75"/>
    <w:rsid w:val="007E78DB"/>
    <w:rsid w:val="007E7C21"/>
    <w:rsid w:val="007F634E"/>
    <w:rsid w:val="0080082A"/>
    <w:rsid w:val="008009B0"/>
    <w:rsid w:val="008138A7"/>
    <w:rsid w:val="0081546E"/>
    <w:rsid w:val="00815899"/>
    <w:rsid w:val="008203DC"/>
    <w:rsid w:val="0082205D"/>
    <w:rsid w:val="0082506A"/>
    <w:rsid w:val="00826401"/>
    <w:rsid w:val="0082719A"/>
    <w:rsid w:val="008273D2"/>
    <w:rsid w:val="008335F9"/>
    <w:rsid w:val="00833734"/>
    <w:rsid w:val="00834049"/>
    <w:rsid w:val="00836DD6"/>
    <w:rsid w:val="008407F9"/>
    <w:rsid w:val="00840BA8"/>
    <w:rsid w:val="00843B15"/>
    <w:rsid w:val="008444ED"/>
    <w:rsid w:val="00845FCC"/>
    <w:rsid w:val="00846741"/>
    <w:rsid w:val="008524E0"/>
    <w:rsid w:val="00860547"/>
    <w:rsid w:val="00861DC2"/>
    <w:rsid w:val="00862A95"/>
    <w:rsid w:val="008650A9"/>
    <w:rsid w:val="0086629B"/>
    <w:rsid w:val="00866CDB"/>
    <w:rsid w:val="00867CFF"/>
    <w:rsid w:val="00875893"/>
    <w:rsid w:val="00881151"/>
    <w:rsid w:val="00885B3C"/>
    <w:rsid w:val="00887365"/>
    <w:rsid w:val="00890132"/>
    <w:rsid w:val="00891C50"/>
    <w:rsid w:val="008A00FD"/>
    <w:rsid w:val="008A020D"/>
    <w:rsid w:val="008A04AD"/>
    <w:rsid w:val="008A2DF2"/>
    <w:rsid w:val="008A2F08"/>
    <w:rsid w:val="008A4675"/>
    <w:rsid w:val="008A6747"/>
    <w:rsid w:val="008A7178"/>
    <w:rsid w:val="008A7286"/>
    <w:rsid w:val="008A7DC8"/>
    <w:rsid w:val="008B789A"/>
    <w:rsid w:val="008C105A"/>
    <w:rsid w:val="008C3160"/>
    <w:rsid w:val="008C3BDF"/>
    <w:rsid w:val="008D19DB"/>
    <w:rsid w:val="008D45D7"/>
    <w:rsid w:val="008E6AEE"/>
    <w:rsid w:val="00900F52"/>
    <w:rsid w:val="00901E7B"/>
    <w:rsid w:val="009075EC"/>
    <w:rsid w:val="00910646"/>
    <w:rsid w:val="00911107"/>
    <w:rsid w:val="00911659"/>
    <w:rsid w:val="009222FD"/>
    <w:rsid w:val="0092382C"/>
    <w:rsid w:val="00923E0D"/>
    <w:rsid w:val="009250D3"/>
    <w:rsid w:val="00932A51"/>
    <w:rsid w:val="00932E3A"/>
    <w:rsid w:val="009345DD"/>
    <w:rsid w:val="00934CE6"/>
    <w:rsid w:val="00940353"/>
    <w:rsid w:val="00942D4E"/>
    <w:rsid w:val="00947B4D"/>
    <w:rsid w:val="00950101"/>
    <w:rsid w:val="0095030A"/>
    <w:rsid w:val="00953FB2"/>
    <w:rsid w:val="00954FB3"/>
    <w:rsid w:val="00961EE0"/>
    <w:rsid w:val="0097287E"/>
    <w:rsid w:val="009746DA"/>
    <w:rsid w:val="00984B02"/>
    <w:rsid w:val="00987171"/>
    <w:rsid w:val="00993235"/>
    <w:rsid w:val="009A001D"/>
    <w:rsid w:val="009A229D"/>
    <w:rsid w:val="009A3DB6"/>
    <w:rsid w:val="009A745D"/>
    <w:rsid w:val="009B1ADB"/>
    <w:rsid w:val="009B34BD"/>
    <w:rsid w:val="009C0C0D"/>
    <w:rsid w:val="009C3AE6"/>
    <w:rsid w:val="009C4477"/>
    <w:rsid w:val="009C6533"/>
    <w:rsid w:val="009D1955"/>
    <w:rsid w:val="009D1A13"/>
    <w:rsid w:val="009D1DF3"/>
    <w:rsid w:val="009D2C94"/>
    <w:rsid w:val="009E10EE"/>
    <w:rsid w:val="009E24D5"/>
    <w:rsid w:val="009E4C43"/>
    <w:rsid w:val="009E5616"/>
    <w:rsid w:val="009F594D"/>
    <w:rsid w:val="009F7DA5"/>
    <w:rsid w:val="00A01B9E"/>
    <w:rsid w:val="00A03E38"/>
    <w:rsid w:val="00A11074"/>
    <w:rsid w:val="00A122BA"/>
    <w:rsid w:val="00A144BC"/>
    <w:rsid w:val="00A165EC"/>
    <w:rsid w:val="00A1752D"/>
    <w:rsid w:val="00A2665E"/>
    <w:rsid w:val="00A303D8"/>
    <w:rsid w:val="00A344CD"/>
    <w:rsid w:val="00A35BFF"/>
    <w:rsid w:val="00A35E8C"/>
    <w:rsid w:val="00A40CED"/>
    <w:rsid w:val="00A42C66"/>
    <w:rsid w:val="00A447BF"/>
    <w:rsid w:val="00A522A6"/>
    <w:rsid w:val="00A52AF9"/>
    <w:rsid w:val="00A53418"/>
    <w:rsid w:val="00A5378F"/>
    <w:rsid w:val="00A5649C"/>
    <w:rsid w:val="00A57521"/>
    <w:rsid w:val="00A575B5"/>
    <w:rsid w:val="00A60D3B"/>
    <w:rsid w:val="00A65A42"/>
    <w:rsid w:val="00A6751F"/>
    <w:rsid w:val="00A67B4E"/>
    <w:rsid w:val="00A70A06"/>
    <w:rsid w:val="00A77D45"/>
    <w:rsid w:val="00A80EC7"/>
    <w:rsid w:val="00A82B29"/>
    <w:rsid w:val="00A87A10"/>
    <w:rsid w:val="00A95C0A"/>
    <w:rsid w:val="00AA204E"/>
    <w:rsid w:val="00AA2A97"/>
    <w:rsid w:val="00AA31CA"/>
    <w:rsid w:val="00AA4291"/>
    <w:rsid w:val="00AB120D"/>
    <w:rsid w:val="00AB2502"/>
    <w:rsid w:val="00AB338F"/>
    <w:rsid w:val="00AB4C1E"/>
    <w:rsid w:val="00AB512C"/>
    <w:rsid w:val="00AB5270"/>
    <w:rsid w:val="00AB7455"/>
    <w:rsid w:val="00AC0547"/>
    <w:rsid w:val="00AC2123"/>
    <w:rsid w:val="00AC593B"/>
    <w:rsid w:val="00AC5E99"/>
    <w:rsid w:val="00AD000E"/>
    <w:rsid w:val="00AD364C"/>
    <w:rsid w:val="00AD7AA9"/>
    <w:rsid w:val="00AE0EFE"/>
    <w:rsid w:val="00AE1A23"/>
    <w:rsid w:val="00AE5479"/>
    <w:rsid w:val="00AE6C8C"/>
    <w:rsid w:val="00AF0215"/>
    <w:rsid w:val="00AF4A4D"/>
    <w:rsid w:val="00AF4AED"/>
    <w:rsid w:val="00AF7FBA"/>
    <w:rsid w:val="00B045B4"/>
    <w:rsid w:val="00B04601"/>
    <w:rsid w:val="00B04FED"/>
    <w:rsid w:val="00B0567E"/>
    <w:rsid w:val="00B061D2"/>
    <w:rsid w:val="00B171AC"/>
    <w:rsid w:val="00B23349"/>
    <w:rsid w:val="00B3474E"/>
    <w:rsid w:val="00B41759"/>
    <w:rsid w:val="00B46176"/>
    <w:rsid w:val="00B51D8A"/>
    <w:rsid w:val="00B562BF"/>
    <w:rsid w:val="00B57CB5"/>
    <w:rsid w:val="00B60B98"/>
    <w:rsid w:val="00B67116"/>
    <w:rsid w:val="00B702D6"/>
    <w:rsid w:val="00B70586"/>
    <w:rsid w:val="00B761B9"/>
    <w:rsid w:val="00B765FD"/>
    <w:rsid w:val="00B81F31"/>
    <w:rsid w:val="00B830BC"/>
    <w:rsid w:val="00B879A6"/>
    <w:rsid w:val="00B900EF"/>
    <w:rsid w:val="00B94BDD"/>
    <w:rsid w:val="00B958CB"/>
    <w:rsid w:val="00B9716D"/>
    <w:rsid w:val="00BA1D3A"/>
    <w:rsid w:val="00BB08DF"/>
    <w:rsid w:val="00BB33D0"/>
    <w:rsid w:val="00BB60E1"/>
    <w:rsid w:val="00BD2595"/>
    <w:rsid w:val="00BD3404"/>
    <w:rsid w:val="00BE2E03"/>
    <w:rsid w:val="00BE6786"/>
    <w:rsid w:val="00BF69C6"/>
    <w:rsid w:val="00BF7433"/>
    <w:rsid w:val="00BF77F6"/>
    <w:rsid w:val="00C036EF"/>
    <w:rsid w:val="00C04791"/>
    <w:rsid w:val="00C06012"/>
    <w:rsid w:val="00C112EA"/>
    <w:rsid w:val="00C15DB5"/>
    <w:rsid w:val="00C15DC0"/>
    <w:rsid w:val="00C21097"/>
    <w:rsid w:val="00C21C05"/>
    <w:rsid w:val="00C26C2B"/>
    <w:rsid w:val="00C27E30"/>
    <w:rsid w:val="00C33532"/>
    <w:rsid w:val="00C339CF"/>
    <w:rsid w:val="00C35E37"/>
    <w:rsid w:val="00C37E6F"/>
    <w:rsid w:val="00C42529"/>
    <w:rsid w:val="00C42FA1"/>
    <w:rsid w:val="00C43FC3"/>
    <w:rsid w:val="00C51D3B"/>
    <w:rsid w:val="00C51F02"/>
    <w:rsid w:val="00C53CCA"/>
    <w:rsid w:val="00C544A3"/>
    <w:rsid w:val="00C62C97"/>
    <w:rsid w:val="00C64108"/>
    <w:rsid w:val="00C646D5"/>
    <w:rsid w:val="00C67224"/>
    <w:rsid w:val="00C74048"/>
    <w:rsid w:val="00C748B2"/>
    <w:rsid w:val="00C76B31"/>
    <w:rsid w:val="00C86E1C"/>
    <w:rsid w:val="00C95D95"/>
    <w:rsid w:val="00C97E65"/>
    <w:rsid w:val="00CA0421"/>
    <w:rsid w:val="00CA362F"/>
    <w:rsid w:val="00CB0F03"/>
    <w:rsid w:val="00CB3D5B"/>
    <w:rsid w:val="00CB5E3C"/>
    <w:rsid w:val="00CC197E"/>
    <w:rsid w:val="00CC2C46"/>
    <w:rsid w:val="00CD041B"/>
    <w:rsid w:val="00CD096E"/>
    <w:rsid w:val="00CD5584"/>
    <w:rsid w:val="00CD759F"/>
    <w:rsid w:val="00CE0BA2"/>
    <w:rsid w:val="00CE115D"/>
    <w:rsid w:val="00CE28BE"/>
    <w:rsid w:val="00CE32DC"/>
    <w:rsid w:val="00CE3397"/>
    <w:rsid w:val="00CE49D4"/>
    <w:rsid w:val="00CE4D6A"/>
    <w:rsid w:val="00CE6572"/>
    <w:rsid w:val="00CE77F3"/>
    <w:rsid w:val="00CF5208"/>
    <w:rsid w:val="00D02C9C"/>
    <w:rsid w:val="00D040F2"/>
    <w:rsid w:val="00D04C73"/>
    <w:rsid w:val="00D06161"/>
    <w:rsid w:val="00D11BFE"/>
    <w:rsid w:val="00D13A46"/>
    <w:rsid w:val="00D1471D"/>
    <w:rsid w:val="00D15C6B"/>
    <w:rsid w:val="00D17711"/>
    <w:rsid w:val="00D2114E"/>
    <w:rsid w:val="00D22F6D"/>
    <w:rsid w:val="00D23576"/>
    <w:rsid w:val="00D2381F"/>
    <w:rsid w:val="00D26F16"/>
    <w:rsid w:val="00D300D2"/>
    <w:rsid w:val="00D31480"/>
    <w:rsid w:val="00D3763B"/>
    <w:rsid w:val="00D437A7"/>
    <w:rsid w:val="00D502BF"/>
    <w:rsid w:val="00D53253"/>
    <w:rsid w:val="00D61EC1"/>
    <w:rsid w:val="00D626A3"/>
    <w:rsid w:val="00D705AF"/>
    <w:rsid w:val="00D718B2"/>
    <w:rsid w:val="00D739B5"/>
    <w:rsid w:val="00D75468"/>
    <w:rsid w:val="00D7598E"/>
    <w:rsid w:val="00D85F98"/>
    <w:rsid w:val="00D916EE"/>
    <w:rsid w:val="00D920D5"/>
    <w:rsid w:val="00D94E62"/>
    <w:rsid w:val="00D96C09"/>
    <w:rsid w:val="00D96FD7"/>
    <w:rsid w:val="00DA0794"/>
    <w:rsid w:val="00DA1991"/>
    <w:rsid w:val="00DA40D2"/>
    <w:rsid w:val="00DB3C4F"/>
    <w:rsid w:val="00DB4426"/>
    <w:rsid w:val="00DB7E36"/>
    <w:rsid w:val="00DC1ECE"/>
    <w:rsid w:val="00DC36E6"/>
    <w:rsid w:val="00DC5AC2"/>
    <w:rsid w:val="00DC6B24"/>
    <w:rsid w:val="00DC7EF1"/>
    <w:rsid w:val="00DD0221"/>
    <w:rsid w:val="00DD2350"/>
    <w:rsid w:val="00DD5E96"/>
    <w:rsid w:val="00DE0D46"/>
    <w:rsid w:val="00DE35D2"/>
    <w:rsid w:val="00DE43AE"/>
    <w:rsid w:val="00DE64C6"/>
    <w:rsid w:val="00DE7A09"/>
    <w:rsid w:val="00DF1878"/>
    <w:rsid w:val="00DF7526"/>
    <w:rsid w:val="00DF757D"/>
    <w:rsid w:val="00E053BA"/>
    <w:rsid w:val="00E061F3"/>
    <w:rsid w:val="00E20F12"/>
    <w:rsid w:val="00E21754"/>
    <w:rsid w:val="00E24364"/>
    <w:rsid w:val="00E25425"/>
    <w:rsid w:val="00E266DA"/>
    <w:rsid w:val="00E32824"/>
    <w:rsid w:val="00E34AB6"/>
    <w:rsid w:val="00E3675C"/>
    <w:rsid w:val="00E415B2"/>
    <w:rsid w:val="00E4204B"/>
    <w:rsid w:val="00E42067"/>
    <w:rsid w:val="00E5042C"/>
    <w:rsid w:val="00E5091D"/>
    <w:rsid w:val="00E56D1B"/>
    <w:rsid w:val="00E57CBD"/>
    <w:rsid w:val="00E6084D"/>
    <w:rsid w:val="00E6300A"/>
    <w:rsid w:val="00E636CA"/>
    <w:rsid w:val="00E71B95"/>
    <w:rsid w:val="00E75A3F"/>
    <w:rsid w:val="00E776ED"/>
    <w:rsid w:val="00E77A9F"/>
    <w:rsid w:val="00E83620"/>
    <w:rsid w:val="00E841F6"/>
    <w:rsid w:val="00E85E32"/>
    <w:rsid w:val="00E87909"/>
    <w:rsid w:val="00E93BD6"/>
    <w:rsid w:val="00E94438"/>
    <w:rsid w:val="00EA1631"/>
    <w:rsid w:val="00EA47E6"/>
    <w:rsid w:val="00EA4E33"/>
    <w:rsid w:val="00EA4EE5"/>
    <w:rsid w:val="00EB0191"/>
    <w:rsid w:val="00EB218B"/>
    <w:rsid w:val="00EB3297"/>
    <w:rsid w:val="00EB3681"/>
    <w:rsid w:val="00EB5F88"/>
    <w:rsid w:val="00EB623C"/>
    <w:rsid w:val="00EB6B8A"/>
    <w:rsid w:val="00EC5EEC"/>
    <w:rsid w:val="00ED0738"/>
    <w:rsid w:val="00ED5051"/>
    <w:rsid w:val="00ED57F8"/>
    <w:rsid w:val="00EE05C5"/>
    <w:rsid w:val="00EE05DF"/>
    <w:rsid w:val="00EE5289"/>
    <w:rsid w:val="00EF4DD0"/>
    <w:rsid w:val="00EF5558"/>
    <w:rsid w:val="00EF6150"/>
    <w:rsid w:val="00F01467"/>
    <w:rsid w:val="00F024C3"/>
    <w:rsid w:val="00F05B43"/>
    <w:rsid w:val="00F075AC"/>
    <w:rsid w:val="00F12CB6"/>
    <w:rsid w:val="00F15A8E"/>
    <w:rsid w:val="00F229E7"/>
    <w:rsid w:val="00F235DD"/>
    <w:rsid w:val="00F26B93"/>
    <w:rsid w:val="00F3316E"/>
    <w:rsid w:val="00F45909"/>
    <w:rsid w:val="00F50E73"/>
    <w:rsid w:val="00F51935"/>
    <w:rsid w:val="00F51BA9"/>
    <w:rsid w:val="00F524CF"/>
    <w:rsid w:val="00F533DE"/>
    <w:rsid w:val="00F55827"/>
    <w:rsid w:val="00F5690C"/>
    <w:rsid w:val="00F61E56"/>
    <w:rsid w:val="00F7196B"/>
    <w:rsid w:val="00F72F4C"/>
    <w:rsid w:val="00F80917"/>
    <w:rsid w:val="00F83685"/>
    <w:rsid w:val="00F87C2E"/>
    <w:rsid w:val="00F90CEA"/>
    <w:rsid w:val="00F92767"/>
    <w:rsid w:val="00F96259"/>
    <w:rsid w:val="00FA088D"/>
    <w:rsid w:val="00FA0B56"/>
    <w:rsid w:val="00FA6853"/>
    <w:rsid w:val="00FA7B47"/>
    <w:rsid w:val="00FB00FB"/>
    <w:rsid w:val="00FB2FAE"/>
    <w:rsid w:val="00FB69F9"/>
    <w:rsid w:val="00FB77E6"/>
    <w:rsid w:val="00FB7C15"/>
    <w:rsid w:val="00FC2D46"/>
    <w:rsid w:val="00FD08DF"/>
    <w:rsid w:val="00FE0E7B"/>
    <w:rsid w:val="00FE2446"/>
    <w:rsid w:val="00FE387E"/>
    <w:rsid w:val="00FE4304"/>
    <w:rsid w:val="00FE5648"/>
    <w:rsid w:val="00FE7FB1"/>
    <w:rsid w:val="00FF0414"/>
    <w:rsid w:val="00FF2763"/>
    <w:rsid w:val="00FF4592"/>
    <w:rsid w:val="00FF67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rPr>
      <w:rFonts w:asciiTheme="minorHAnsi" w:hAnsiTheme="minorHAnsi"/>
      <w:sz w:val="22"/>
    </w:rPr>
  </w:style>
  <w:style w:type="paragraph" w:styleId="Heading1">
    <w:name w:val="heading 1"/>
    <w:basedOn w:val="Normal"/>
    <w:next w:val="Normal"/>
    <w:link w:val="Heading1Char"/>
    <w:qFormat/>
    <w:rsid w:val="00A5378F"/>
    <w:pPr>
      <w:keepNext/>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character" w:styleId="UnresolvedMention">
    <w:name w:val="Unresolved Mention"/>
    <w:basedOn w:val="DefaultParagraphFont"/>
    <w:uiPriority w:val="99"/>
    <w:semiHidden/>
    <w:unhideWhenUsed/>
    <w:rsid w:val="009D1A13"/>
    <w:rPr>
      <w:color w:val="605E5C"/>
      <w:shd w:val="clear" w:color="auto" w:fill="E1DFDD"/>
    </w:rPr>
  </w:style>
  <w:style w:type="paragraph" w:styleId="NoSpacing">
    <w:name w:val="No Spacing"/>
    <w:link w:val="NoSpacingChar"/>
    <w:uiPriority w:val="1"/>
    <w:qFormat/>
    <w:rsid w:val="00D02C9C"/>
    <w:rPr>
      <w:rFonts w:asciiTheme="minorHAnsi" w:hAnsiTheme="minorHAnsi"/>
      <w:sz w:val="22"/>
    </w:rPr>
  </w:style>
  <w:style w:type="paragraph" w:styleId="FootnoteText">
    <w:name w:val="footnote text"/>
    <w:basedOn w:val="Normal"/>
    <w:link w:val="FootnoteTextChar"/>
    <w:uiPriority w:val="99"/>
    <w:semiHidden/>
    <w:unhideWhenUsed/>
    <w:rsid w:val="00D94E62"/>
    <w:rPr>
      <w:rFonts w:ascii="Calibri" w:hAnsi="Calibri" w:cs="Calibri"/>
      <w:sz w:val="20"/>
      <w:szCs w:val="20"/>
      <w:lang w:eastAsia="lt-LT"/>
    </w:rPr>
  </w:style>
  <w:style w:type="character" w:customStyle="1" w:styleId="FootnoteTextChar">
    <w:name w:val="Footnote Text Char"/>
    <w:basedOn w:val="DefaultParagraphFont"/>
    <w:link w:val="FootnoteText"/>
    <w:uiPriority w:val="99"/>
    <w:semiHidden/>
    <w:rsid w:val="00D94E62"/>
    <w:rPr>
      <w:rFonts w:ascii="Calibri" w:hAnsi="Calibri" w:cs="Calibri"/>
      <w:sz w:val="20"/>
      <w:szCs w:val="20"/>
      <w:lang w:eastAsia="lt-LT"/>
    </w:rPr>
  </w:style>
  <w:style w:type="character" w:styleId="FootnoteReference">
    <w:name w:val="footnote reference"/>
    <w:basedOn w:val="DefaultParagraphFont"/>
    <w:uiPriority w:val="99"/>
    <w:semiHidden/>
    <w:unhideWhenUsed/>
    <w:rsid w:val="00D94E62"/>
    <w:rPr>
      <w:vertAlign w:val="superscript"/>
    </w:rPr>
  </w:style>
  <w:style w:type="paragraph" w:styleId="Header">
    <w:name w:val="header"/>
    <w:basedOn w:val="Normal"/>
    <w:link w:val="HeaderChar"/>
    <w:uiPriority w:val="99"/>
    <w:unhideWhenUsed/>
    <w:rsid w:val="00E20F12"/>
    <w:pPr>
      <w:tabs>
        <w:tab w:val="center" w:pos="4680"/>
        <w:tab w:val="right" w:pos="9360"/>
      </w:tabs>
    </w:pPr>
  </w:style>
  <w:style w:type="character" w:customStyle="1" w:styleId="HeaderChar">
    <w:name w:val="Header Char"/>
    <w:basedOn w:val="DefaultParagraphFont"/>
    <w:link w:val="Header"/>
    <w:uiPriority w:val="99"/>
    <w:rsid w:val="00E20F12"/>
    <w:rPr>
      <w:rFonts w:asciiTheme="minorHAnsi" w:hAnsiTheme="minorHAnsi"/>
      <w:sz w:val="22"/>
    </w:rPr>
  </w:style>
  <w:style w:type="character" w:styleId="Emphasis">
    <w:name w:val="Emphasis"/>
    <w:basedOn w:val="DefaultParagraphFont"/>
    <w:uiPriority w:val="20"/>
    <w:qFormat/>
    <w:rsid w:val="00EC5EEC"/>
    <w:rPr>
      <w:i/>
      <w:iCs/>
    </w:rPr>
  </w:style>
  <w:style w:type="character" w:customStyle="1" w:styleId="NoSpacingChar">
    <w:name w:val="No Spacing Char"/>
    <w:link w:val="NoSpacing"/>
    <w:uiPriority w:val="1"/>
    <w:rsid w:val="00D96FD7"/>
    <w:rPr>
      <w:rFonts w:asciiTheme="minorHAnsi" w:hAnsiTheme="minorHAnsi"/>
      <w:sz w:val="22"/>
    </w:rPr>
  </w:style>
  <w:style w:type="paragraph" w:styleId="BodyText">
    <w:name w:val="Body Text"/>
    <w:basedOn w:val="Normal"/>
    <w:link w:val="BodyTextChar"/>
    <w:rsid w:val="00653944"/>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53944"/>
    <w:rPr>
      <w:rFonts w:eastAsia="Times New Roman" w:cs="Times New Roman"/>
      <w:szCs w:val="20"/>
    </w:rPr>
  </w:style>
  <w:style w:type="paragraph" w:styleId="Title">
    <w:name w:val="Title"/>
    <w:basedOn w:val="Normal"/>
    <w:link w:val="TitleChar"/>
    <w:qFormat/>
    <w:rsid w:val="008444ED"/>
    <w:pPr>
      <w:tabs>
        <w:tab w:val="center" w:pos="0"/>
      </w:tabs>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8444ED"/>
    <w:rPr>
      <w:rFonts w:eastAsia="Times New Roman" w:cs="Times New Roman"/>
      <w:b/>
      <w:bCs/>
      <w:szCs w:val="20"/>
    </w:rPr>
  </w:style>
  <w:style w:type="paragraph" w:styleId="EndnoteText">
    <w:name w:val="endnote text"/>
    <w:basedOn w:val="Normal"/>
    <w:link w:val="EndnoteTextChar"/>
    <w:uiPriority w:val="99"/>
    <w:semiHidden/>
    <w:unhideWhenUsed/>
    <w:rsid w:val="003922BA"/>
    <w:rPr>
      <w:sz w:val="20"/>
      <w:szCs w:val="20"/>
    </w:rPr>
  </w:style>
  <w:style w:type="character" w:customStyle="1" w:styleId="EndnoteTextChar">
    <w:name w:val="Endnote Text Char"/>
    <w:basedOn w:val="DefaultParagraphFont"/>
    <w:link w:val="EndnoteText"/>
    <w:uiPriority w:val="99"/>
    <w:semiHidden/>
    <w:rsid w:val="003922BA"/>
    <w:rPr>
      <w:rFonts w:asciiTheme="minorHAnsi" w:hAnsiTheme="minorHAnsi"/>
      <w:sz w:val="20"/>
      <w:szCs w:val="20"/>
    </w:rPr>
  </w:style>
  <w:style w:type="character" w:styleId="EndnoteReference">
    <w:name w:val="endnote reference"/>
    <w:basedOn w:val="DefaultParagraphFont"/>
    <w:uiPriority w:val="99"/>
    <w:semiHidden/>
    <w:unhideWhenUsed/>
    <w:rsid w:val="003922BA"/>
    <w:rPr>
      <w:vertAlign w:val="superscript"/>
    </w:rPr>
  </w:style>
  <w:style w:type="paragraph" w:styleId="BodyTextIndent3">
    <w:name w:val="Body Text Indent 3"/>
    <w:basedOn w:val="Normal"/>
    <w:link w:val="BodyTextIndent3Char"/>
    <w:uiPriority w:val="99"/>
    <w:unhideWhenUsed/>
    <w:rsid w:val="002B3BF6"/>
    <w:pPr>
      <w:spacing w:after="120"/>
      <w:ind w:left="360"/>
    </w:pPr>
    <w:rPr>
      <w:sz w:val="16"/>
      <w:szCs w:val="16"/>
    </w:rPr>
  </w:style>
  <w:style w:type="character" w:customStyle="1" w:styleId="BodyTextIndent3Char">
    <w:name w:val="Body Text Indent 3 Char"/>
    <w:basedOn w:val="DefaultParagraphFont"/>
    <w:link w:val="BodyTextIndent3"/>
    <w:uiPriority w:val="99"/>
    <w:rsid w:val="002B3BF6"/>
    <w:rPr>
      <w:rFonts w:asciiTheme="minorHAnsi" w:hAnsiTheme="minorHAnsi"/>
      <w:sz w:val="16"/>
      <w:szCs w:val="16"/>
    </w:rPr>
  </w:style>
  <w:style w:type="paragraph" w:customStyle="1" w:styleId="tajtip">
    <w:name w:val="tajtip"/>
    <w:basedOn w:val="Normal"/>
    <w:rsid w:val="002B3BF6"/>
    <w:pPr>
      <w:spacing w:before="100" w:beforeAutospacing="1" w:after="100" w:afterAutospacing="1"/>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494DCD"/>
    <w:rPr>
      <w:sz w:val="16"/>
      <w:szCs w:val="16"/>
    </w:rPr>
  </w:style>
  <w:style w:type="paragraph" w:styleId="CommentText">
    <w:name w:val="annotation text"/>
    <w:basedOn w:val="Normal"/>
    <w:link w:val="CommentTextChar"/>
    <w:uiPriority w:val="99"/>
    <w:semiHidden/>
    <w:unhideWhenUsed/>
    <w:rsid w:val="00494DCD"/>
    <w:rPr>
      <w:sz w:val="20"/>
      <w:szCs w:val="20"/>
    </w:rPr>
  </w:style>
  <w:style w:type="character" w:customStyle="1" w:styleId="CommentTextChar">
    <w:name w:val="Comment Text Char"/>
    <w:basedOn w:val="DefaultParagraphFont"/>
    <w:link w:val="CommentText"/>
    <w:uiPriority w:val="99"/>
    <w:semiHidden/>
    <w:rsid w:val="00494DC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94DCD"/>
    <w:rPr>
      <w:b/>
      <w:bCs/>
    </w:rPr>
  </w:style>
  <w:style w:type="character" w:customStyle="1" w:styleId="CommentSubjectChar">
    <w:name w:val="Comment Subject Char"/>
    <w:basedOn w:val="CommentTextChar"/>
    <w:link w:val="CommentSubject"/>
    <w:uiPriority w:val="99"/>
    <w:semiHidden/>
    <w:rsid w:val="00494DCD"/>
    <w:rPr>
      <w:rFonts w:asciiTheme="minorHAnsi" w:hAnsiTheme="minorHAnsi"/>
      <w:b/>
      <w:bCs/>
      <w:sz w:val="20"/>
      <w:szCs w:val="20"/>
    </w:rPr>
  </w:style>
  <w:style w:type="character" w:styleId="Strong">
    <w:name w:val="Strong"/>
    <w:basedOn w:val="DefaultParagraphFont"/>
    <w:uiPriority w:val="22"/>
    <w:qFormat/>
    <w:rsid w:val="005D0E5A"/>
    <w:rPr>
      <w:b/>
      <w:bCs/>
    </w:rPr>
  </w:style>
  <w:style w:type="paragraph" w:styleId="NormalWeb">
    <w:name w:val="Normal (Web)"/>
    <w:basedOn w:val="Normal"/>
    <w:uiPriority w:val="99"/>
    <w:semiHidden/>
    <w:unhideWhenUsed/>
    <w:rsid w:val="003B09FC"/>
    <w:pPr>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E6155"/>
    <w:rPr>
      <w:color w:val="954F72" w:themeColor="followedHyperlink"/>
      <w:u w:val="single"/>
    </w:rPr>
  </w:style>
  <w:style w:type="paragraph" w:customStyle="1" w:styleId="text">
    <w:name w:val="text"/>
    <w:basedOn w:val="Normal"/>
    <w:rsid w:val="00185076"/>
    <w:pPr>
      <w:spacing w:before="100" w:beforeAutospacing="1" w:after="100" w:afterAutospacing="1"/>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874892">
      <w:bodyDiv w:val="1"/>
      <w:marLeft w:val="0"/>
      <w:marRight w:val="0"/>
      <w:marTop w:val="0"/>
      <w:marBottom w:val="0"/>
      <w:divBdr>
        <w:top w:val="none" w:sz="0" w:space="0" w:color="auto"/>
        <w:left w:val="none" w:sz="0" w:space="0" w:color="auto"/>
        <w:bottom w:val="none" w:sz="0" w:space="0" w:color="auto"/>
        <w:right w:val="none" w:sz="0" w:space="0" w:color="auto"/>
      </w:divBdr>
    </w:div>
    <w:div w:id="1053848912">
      <w:bodyDiv w:val="1"/>
      <w:marLeft w:val="0"/>
      <w:marRight w:val="0"/>
      <w:marTop w:val="0"/>
      <w:marBottom w:val="0"/>
      <w:divBdr>
        <w:top w:val="none" w:sz="0" w:space="0" w:color="auto"/>
        <w:left w:val="none" w:sz="0" w:space="0" w:color="auto"/>
        <w:bottom w:val="none" w:sz="0" w:space="0" w:color="auto"/>
        <w:right w:val="none" w:sz="0" w:space="0" w:color="auto"/>
      </w:divBdr>
    </w:div>
    <w:div w:id="1121649833">
      <w:bodyDiv w:val="1"/>
      <w:marLeft w:val="0"/>
      <w:marRight w:val="0"/>
      <w:marTop w:val="0"/>
      <w:marBottom w:val="0"/>
      <w:divBdr>
        <w:top w:val="none" w:sz="0" w:space="0" w:color="auto"/>
        <w:left w:val="none" w:sz="0" w:space="0" w:color="auto"/>
        <w:bottom w:val="none" w:sz="0" w:space="0" w:color="auto"/>
        <w:right w:val="none" w:sz="0" w:space="0" w:color="auto"/>
      </w:divBdr>
    </w:div>
    <w:div w:id="1215119609">
      <w:bodyDiv w:val="1"/>
      <w:marLeft w:val="0"/>
      <w:marRight w:val="0"/>
      <w:marTop w:val="0"/>
      <w:marBottom w:val="0"/>
      <w:divBdr>
        <w:top w:val="none" w:sz="0" w:space="0" w:color="auto"/>
        <w:left w:val="none" w:sz="0" w:space="0" w:color="auto"/>
        <w:bottom w:val="none" w:sz="0" w:space="0" w:color="auto"/>
        <w:right w:val="none" w:sz="0" w:space="0" w:color="auto"/>
      </w:divBdr>
    </w:div>
    <w:div w:id="1218125845">
      <w:bodyDiv w:val="1"/>
      <w:marLeft w:val="0"/>
      <w:marRight w:val="0"/>
      <w:marTop w:val="0"/>
      <w:marBottom w:val="0"/>
      <w:divBdr>
        <w:top w:val="none" w:sz="0" w:space="0" w:color="auto"/>
        <w:left w:val="none" w:sz="0" w:space="0" w:color="auto"/>
        <w:bottom w:val="none" w:sz="0" w:space="0" w:color="auto"/>
        <w:right w:val="none" w:sz="0" w:space="0" w:color="auto"/>
      </w:divBdr>
    </w:div>
    <w:div w:id="1226602933">
      <w:bodyDiv w:val="1"/>
      <w:marLeft w:val="0"/>
      <w:marRight w:val="0"/>
      <w:marTop w:val="0"/>
      <w:marBottom w:val="0"/>
      <w:divBdr>
        <w:top w:val="none" w:sz="0" w:space="0" w:color="auto"/>
        <w:left w:val="none" w:sz="0" w:space="0" w:color="auto"/>
        <w:bottom w:val="none" w:sz="0" w:space="0" w:color="auto"/>
        <w:right w:val="none" w:sz="0" w:space="0" w:color="auto"/>
      </w:divBdr>
    </w:div>
    <w:div w:id="1240560067">
      <w:bodyDiv w:val="1"/>
      <w:marLeft w:val="0"/>
      <w:marRight w:val="0"/>
      <w:marTop w:val="0"/>
      <w:marBottom w:val="0"/>
      <w:divBdr>
        <w:top w:val="none" w:sz="0" w:space="0" w:color="auto"/>
        <w:left w:val="none" w:sz="0" w:space="0" w:color="auto"/>
        <w:bottom w:val="none" w:sz="0" w:space="0" w:color="auto"/>
        <w:right w:val="none" w:sz="0" w:space="0" w:color="auto"/>
      </w:divBdr>
    </w:div>
    <w:div w:id="1319533068">
      <w:bodyDiv w:val="1"/>
      <w:marLeft w:val="0"/>
      <w:marRight w:val="0"/>
      <w:marTop w:val="0"/>
      <w:marBottom w:val="0"/>
      <w:divBdr>
        <w:top w:val="none" w:sz="0" w:space="0" w:color="auto"/>
        <w:left w:val="none" w:sz="0" w:space="0" w:color="auto"/>
        <w:bottom w:val="none" w:sz="0" w:space="0" w:color="auto"/>
        <w:right w:val="none" w:sz="0" w:space="0" w:color="auto"/>
      </w:divBdr>
    </w:div>
    <w:div w:id="1901398051">
      <w:bodyDiv w:val="1"/>
      <w:marLeft w:val="0"/>
      <w:marRight w:val="0"/>
      <w:marTop w:val="0"/>
      <w:marBottom w:val="0"/>
      <w:divBdr>
        <w:top w:val="none" w:sz="0" w:space="0" w:color="auto"/>
        <w:left w:val="none" w:sz="0" w:space="0" w:color="auto"/>
        <w:bottom w:val="none" w:sz="0" w:space="0" w:color="auto"/>
        <w:right w:val="none" w:sz="0" w:space="0" w:color="auto"/>
      </w:divBdr>
    </w:div>
    <w:div w:id="19930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mas@lsta.lt" TargetMode="External"/><Relationship Id="rId4" Type="http://schemas.openxmlformats.org/officeDocument/2006/relationships/settings" Target="settings.xml"/><Relationship Id="rId9" Type="http://schemas.openxmlformats.org/officeDocument/2006/relationships/hyperlink" Target="http://www.infolex.lt/tp/8056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3960</Words>
  <Characters>2258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Ramune G.</cp:lastModifiedBy>
  <cp:revision>4</cp:revision>
  <cp:lastPrinted>2020-10-10T15:07:00Z</cp:lastPrinted>
  <dcterms:created xsi:type="dcterms:W3CDTF">2021-04-09T06:22:00Z</dcterms:created>
  <dcterms:modified xsi:type="dcterms:W3CDTF">2021-04-09T06:23:00Z</dcterms:modified>
</cp:coreProperties>
</file>