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29EFE85C" w:rsidR="0092382C" w:rsidRDefault="00CD4C2E"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Šilumos tiekimo įmonėms</w:t>
            </w:r>
          </w:p>
          <w:p w14:paraId="60997654" w14:textId="7A5D5ACA" w:rsidR="009B07B7" w:rsidRDefault="009B07B7" w:rsidP="00CD4C2E">
            <w:pPr>
              <w:spacing w:after="0" w:line="240" w:lineRule="auto"/>
              <w:jc w:val="both"/>
              <w:rPr>
                <w:rFonts w:ascii="Times New Roman" w:hAnsi="Times New Roman" w:cs="Times New Roman"/>
                <w:b/>
                <w:sz w:val="24"/>
                <w:szCs w:val="24"/>
              </w:rPr>
            </w:pPr>
          </w:p>
          <w:p w14:paraId="12C8476B" w14:textId="6FDD1743" w:rsidR="00A5378F" w:rsidRPr="00D200FB" w:rsidRDefault="00A5378F" w:rsidP="00CD4C2E">
            <w:pPr>
              <w:spacing w:after="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CD4C2E">
            <w:pPr>
              <w:spacing w:after="0" w:line="240" w:lineRule="auto"/>
              <w:rPr>
                <w:rFonts w:ascii="Times New Roman" w:hAnsi="Times New Roman" w:cs="Times New Roman"/>
                <w:bCs/>
                <w:sz w:val="24"/>
                <w:szCs w:val="24"/>
              </w:rPr>
            </w:pPr>
          </w:p>
        </w:tc>
        <w:tc>
          <w:tcPr>
            <w:tcW w:w="1418" w:type="dxa"/>
          </w:tcPr>
          <w:p w14:paraId="4D429152" w14:textId="14A06821"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w:t>
            </w:r>
            <w:r w:rsidR="008E3952">
              <w:rPr>
                <w:rFonts w:ascii="Times New Roman" w:hAnsi="Times New Roman" w:cs="Times New Roman"/>
                <w:bCs/>
                <w:sz w:val="24"/>
                <w:szCs w:val="24"/>
              </w:rPr>
              <w:t>1</w:t>
            </w:r>
            <w:r w:rsidRPr="00D200FB">
              <w:rPr>
                <w:rFonts w:ascii="Times New Roman" w:hAnsi="Times New Roman" w:cs="Times New Roman"/>
                <w:bCs/>
                <w:sz w:val="24"/>
                <w:szCs w:val="24"/>
              </w:rPr>
              <w:t>-</w:t>
            </w:r>
            <w:r w:rsidR="008E3952">
              <w:rPr>
                <w:rFonts w:ascii="Times New Roman" w:hAnsi="Times New Roman" w:cs="Times New Roman"/>
                <w:bCs/>
                <w:sz w:val="24"/>
                <w:szCs w:val="24"/>
              </w:rPr>
              <w:t>0</w:t>
            </w:r>
            <w:r w:rsidR="00CD4C2E">
              <w:rPr>
                <w:rFonts w:ascii="Times New Roman" w:hAnsi="Times New Roman" w:cs="Times New Roman"/>
                <w:bCs/>
                <w:sz w:val="24"/>
                <w:szCs w:val="24"/>
              </w:rPr>
              <w:t>4</w:t>
            </w:r>
            <w:r w:rsidRPr="00D200FB">
              <w:rPr>
                <w:rFonts w:ascii="Times New Roman" w:hAnsi="Times New Roman" w:cs="Times New Roman"/>
                <w:bCs/>
                <w:sz w:val="24"/>
                <w:szCs w:val="24"/>
              </w:rPr>
              <w:t>-</w:t>
            </w:r>
            <w:r w:rsidR="00CD4C2E">
              <w:rPr>
                <w:rFonts w:ascii="Times New Roman" w:hAnsi="Times New Roman" w:cs="Times New Roman"/>
                <w:bCs/>
                <w:sz w:val="24"/>
                <w:szCs w:val="24"/>
              </w:rPr>
              <w:t>08</w:t>
            </w:r>
          </w:p>
        </w:tc>
        <w:tc>
          <w:tcPr>
            <w:tcW w:w="2401" w:type="dxa"/>
          </w:tcPr>
          <w:p w14:paraId="0DCDE756" w14:textId="4E562575"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4C2E">
              <w:rPr>
                <w:rFonts w:ascii="Times New Roman" w:hAnsi="Times New Roman" w:cs="Times New Roman"/>
                <w:bCs/>
                <w:sz w:val="24"/>
                <w:szCs w:val="24"/>
              </w:rPr>
              <w:t xml:space="preserve"> 35</w:t>
            </w:r>
          </w:p>
        </w:tc>
      </w:tr>
      <w:tr w:rsidR="00A5378F" w:rsidRPr="00D200FB" w14:paraId="09EA10AA" w14:textId="77777777" w:rsidTr="00AF7D96">
        <w:trPr>
          <w:cantSplit/>
        </w:trPr>
        <w:tc>
          <w:tcPr>
            <w:tcW w:w="5537" w:type="dxa"/>
            <w:vMerge/>
          </w:tcPr>
          <w:p w14:paraId="71EA8D27" w14:textId="77777777" w:rsidR="00A5378F" w:rsidRPr="00D200FB"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CD4C2E">
            <w:pPr>
              <w:pStyle w:val="Heading1"/>
              <w:rPr>
                <w:szCs w:val="24"/>
              </w:rPr>
            </w:pPr>
            <w:r w:rsidRPr="00D200FB">
              <w:rPr>
                <w:szCs w:val="24"/>
              </w:rPr>
              <w:t>Į</w:t>
            </w:r>
          </w:p>
        </w:tc>
        <w:tc>
          <w:tcPr>
            <w:tcW w:w="1418" w:type="dxa"/>
          </w:tcPr>
          <w:p w14:paraId="094B5206" w14:textId="16CE2F23"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D200FB" w:rsidRDefault="00A5378F" w:rsidP="00CD4C2E">
            <w:pPr>
              <w:pStyle w:val="Heading1"/>
              <w:rPr>
                <w:szCs w:val="24"/>
              </w:rPr>
            </w:pPr>
            <w:r w:rsidRPr="00D200FB">
              <w:rPr>
                <w:szCs w:val="24"/>
              </w:rPr>
              <w:t>Nr.</w:t>
            </w:r>
            <w:r>
              <w:rPr>
                <w:szCs w:val="24"/>
              </w:rPr>
              <w:t xml:space="preserve"> </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CD4C2E">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4E2C8B8B" w:rsidR="00A5378F" w:rsidRPr="00CD4C2E" w:rsidRDefault="00CD4C2E" w:rsidP="00CD4C2E">
            <w:pPr>
              <w:spacing w:after="0" w:line="240" w:lineRule="auto"/>
              <w:jc w:val="both"/>
              <w:rPr>
                <w:rFonts w:ascii="Times New Roman" w:hAnsi="Times New Roman" w:cs="Times New Roman"/>
                <w:b/>
                <w:bCs/>
                <w:caps/>
                <w:sz w:val="24"/>
                <w:szCs w:val="24"/>
              </w:rPr>
            </w:pPr>
            <w:r w:rsidRPr="00CD4C2E">
              <w:rPr>
                <w:rFonts w:ascii="Times New Roman" w:hAnsi="Times New Roman" w:cs="Times New Roman"/>
                <w:b/>
                <w:bCs/>
                <w:sz w:val="24"/>
                <w:szCs w:val="24"/>
              </w:rPr>
              <w:t>TEISMAS PASISAKĖ DĖL ŠILUMOS TIEKĖJAMS PRIKLAUSANČIŲ ŠILUMOS PUNKTŲ PRIEŽIŪROS IR EKSPLOATAVIMO SĄNAUDŲ APMOKĖJIMO REGLAMENTAVIMO</w:t>
            </w:r>
          </w:p>
        </w:tc>
      </w:tr>
    </w:tbl>
    <w:p w14:paraId="74D32727" w14:textId="77777777" w:rsidR="00A5378F" w:rsidRDefault="00A5378F" w:rsidP="00CD4C2E">
      <w:pPr>
        <w:spacing w:line="240" w:lineRule="auto"/>
        <w:jc w:val="both"/>
        <w:rPr>
          <w:rFonts w:ascii="Times New Roman" w:hAnsi="Times New Roman" w:cs="Times New Roman"/>
          <w:sz w:val="24"/>
          <w:szCs w:val="24"/>
        </w:rPr>
      </w:pPr>
    </w:p>
    <w:p w14:paraId="6391F223" w14:textId="4D4A8B2B" w:rsidR="00A5378F" w:rsidRDefault="00CD4C2E" w:rsidP="00CD4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1B52DD1" w14:textId="77777777" w:rsidR="00CD4C2E" w:rsidRPr="00CD4C2E" w:rsidRDefault="00CD4C2E" w:rsidP="00CD4C2E">
      <w:pPr>
        <w:spacing w:after="0" w:line="240" w:lineRule="auto"/>
        <w:jc w:val="both"/>
        <w:rPr>
          <w:rFonts w:ascii="Times New Roman" w:hAnsi="Times New Roman" w:cs="Times New Roman"/>
          <w:sz w:val="24"/>
          <w:szCs w:val="24"/>
        </w:rPr>
      </w:pPr>
      <w:r w:rsidRPr="00CD4C2E">
        <w:rPr>
          <w:rFonts w:ascii="Times New Roman" w:hAnsi="Times New Roman" w:cs="Times New Roman"/>
          <w:sz w:val="24"/>
          <w:szCs w:val="24"/>
        </w:rPr>
        <w:t xml:space="preserve">Didelė dalis šilumos punktų vis dar priklauso šilumos tiekėjams, tačiau gyventojai jų nei perima savo nuosavybėn, nei padengia visas eksploatavimo sąnaudas. Tokiu atveju šio turto savininkas (šilumos tiekėjas) pats priverstas juos remontuoti,  pirkti ir keisti  atsargines dalis </w:t>
      </w:r>
      <w:r w:rsidRPr="00CD4C2E">
        <w:rPr>
          <w:rFonts w:ascii="Times New Roman" w:hAnsi="Times New Roman" w:cs="Times New Roman"/>
          <w:b/>
          <w:bCs/>
          <w:sz w:val="24"/>
          <w:szCs w:val="24"/>
        </w:rPr>
        <w:t>bendromis visų šilumos vartotojų lėšomis</w:t>
      </w:r>
      <w:r w:rsidRPr="00CD4C2E">
        <w:rPr>
          <w:rFonts w:ascii="Times New Roman" w:hAnsi="Times New Roman" w:cs="Times New Roman"/>
          <w:sz w:val="24"/>
          <w:szCs w:val="24"/>
        </w:rPr>
        <w:t>, nes negali nutraukti šildymo, o šių įrenginių naudotojai (gyventojai) dažnai tuo piktnaudžiauja, motyvuodami, kad tai ne jų nuosavybė. Kitų lėšų tam tikslui tiesiog nėra.</w:t>
      </w:r>
    </w:p>
    <w:p w14:paraId="0EAB824C" w14:textId="77777777" w:rsidR="00CD4C2E" w:rsidRPr="00CD4C2E" w:rsidRDefault="00CD4C2E" w:rsidP="00CD4C2E">
      <w:pPr>
        <w:spacing w:after="0" w:line="240" w:lineRule="auto"/>
        <w:jc w:val="both"/>
        <w:rPr>
          <w:rFonts w:ascii="Times New Roman" w:hAnsi="Times New Roman" w:cs="Times New Roman"/>
          <w:sz w:val="24"/>
          <w:szCs w:val="24"/>
        </w:rPr>
      </w:pPr>
    </w:p>
    <w:p w14:paraId="64B24924" w14:textId="77777777" w:rsidR="00CD4C2E" w:rsidRPr="00CD4C2E" w:rsidRDefault="00CD4C2E" w:rsidP="00CD4C2E">
      <w:pPr>
        <w:spacing w:after="0" w:line="240" w:lineRule="auto"/>
        <w:jc w:val="both"/>
        <w:rPr>
          <w:rFonts w:ascii="Times New Roman" w:hAnsi="Times New Roman" w:cs="Times New Roman"/>
          <w:sz w:val="24"/>
          <w:szCs w:val="24"/>
        </w:rPr>
      </w:pPr>
      <w:r w:rsidRPr="00CD4C2E">
        <w:rPr>
          <w:rFonts w:ascii="Times New Roman" w:hAnsi="Times New Roman" w:cs="Times New Roman"/>
          <w:sz w:val="24"/>
          <w:szCs w:val="24"/>
        </w:rPr>
        <w:t xml:space="preserve">Lietuvos šilumos tiekėjų asociacijos (LŠTA) iniciatyva 2020-05-21 energetikos ministras patvirtino PASTATO ŠILDYMO IR KARŠTO VANDENS SISTEMOS PRIEŽIŪROS TVARKOS APRAŠO (Aprašas) </w:t>
      </w:r>
      <w:hyperlink r:id="rId7" w:history="1">
        <w:r w:rsidRPr="00CD4C2E">
          <w:rPr>
            <w:rStyle w:val="Hyperlink"/>
            <w:rFonts w:ascii="Times New Roman" w:hAnsi="Times New Roman" w:cs="Times New Roman"/>
            <w:sz w:val="24"/>
            <w:szCs w:val="24"/>
          </w:rPr>
          <w:t>pakeitimus</w:t>
        </w:r>
      </w:hyperlink>
      <w:r w:rsidRPr="00CD4C2E">
        <w:rPr>
          <w:rFonts w:ascii="Times New Roman" w:hAnsi="Times New Roman" w:cs="Times New Roman"/>
          <w:sz w:val="24"/>
          <w:szCs w:val="24"/>
        </w:rPr>
        <w:t xml:space="preserve">, numatančius, kad </w:t>
      </w:r>
      <w:r w:rsidRPr="00CD4C2E">
        <w:rPr>
          <w:rFonts w:ascii="Times New Roman" w:hAnsi="Times New Roman" w:cs="Times New Roman"/>
          <w:i/>
          <w:iCs/>
          <w:sz w:val="24"/>
          <w:szCs w:val="24"/>
        </w:rPr>
        <w:t xml:space="preserve">Šilumos punktų kartu su šildymo ir karšto vandens sistemomis eksploatavimo sąnaudos, įskaitant remonto darbams reikalingas medžiagas, atsargines dalis ir įrengimus, kurios nėra įskaičiuotos į šilumos ir karšto vandens sistemos eksploatavimo tarifą, </w:t>
      </w:r>
      <w:r w:rsidRPr="00CD4C2E">
        <w:rPr>
          <w:rFonts w:ascii="Times New Roman" w:hAnsi="Times New Roman" w:cs="Times New Roman"/>
          <w:i/>
          <w:iCs/>
          <w:sz w:val="24"/>
          <w:szCs w:val="24"/>
          <w:u w:val="single"/>
        </w:rPr>
        <w:t>apmoka daugiabučio namo butų ir kitų patalpų savininkai proporcingai jų daliai bendroje dalinėje nuosavybėje</w:t>
      </w:r>
      <w:r w:rsidRPr="00CD4C2E">
        <w:rPr>
          <w:rFonts w:ascii="Times New Roman" w:hAnsi="Times New Roman" w:cs="Times New Roman"/>
          <w:sz w:val="24"/>
          <w:szCs w:val="24"/>
          <w:u w:val="single"/>
        </w:rPr>
        <w:t xml:space="preserve">. Taip buvo sulyginta visų šilumos vartotojų padėtis, nes visi jie vienodai apmokėtų šilumos punktų, kuriais naudojasi savo name, sąnaudas. </w:t>
      </w:r>
    </w:p>
    <w:p w14:paraId="26ACD860" w14:textId="77777777" w:rsidR="00CD4C2E" w:rsidRPr="00CD4C2E" w:rsidRDefault="00CD4C2E" w:rsidP="00CD4C2E">
      <w:pPr>
        <w:spacing w:after="0" w:line="240" w:lineRule="auto"/>
        <w:jc w:val="both"/>
        <w:rPr>
          <w:rFonts w:ascii="Times New Roman" w:hAnsi="Times New Roman" w:cs="Times New Roman"/>
          <w:sz w:val="24"/>
          <w:szCs w:val="24"/>
        </w:rPr>
      </w:pPr>
    </w:p>
    <w:p w14:paraId="4FF59CBC" w14:textId="77777777" w:rsidR="00CD4C2E" w:rsidRPr="00CD4C2E" w:rsidRDefault="00CD4C2E" w:rsidP="00CD4C2E">
      <w:pPr>
        <w:spacing w:after="0" w:line="240" w:lineRule="auto"/>
        <w:jc w:val="both"/>
        <w:rPr>
          <w:rFonts w:ascii="Times New Roman" w:hAnsi="Times New Roman" w:cs="Times New Roman"/>
          <w:i/>
          <w:iCs/>
          <w:sz w:val="24"/>
          <w:szCs w:val="24"/>
          <w:u w:val="single"/>
        </w:rPr>
      </w:pPr>
      <w:r w:rsidRPr="00CD4C2E">
        <w:rPr>
          <w:rFonts w:ascii="Times New Roman" w:hAnsi="Times New Roman" w:cs="Times New Roman"/>
          <w:sz w:val="24"/>
          <w:szCs w:val="24"/>
        </w:rPr>
        <w:t xml:space="preserve">Lietuvos Vyriausiasis Administracinis teismas (LVAT) 2021 m. kovo 31 d. priėmė </w:t>
      </w:r>
      <w:hyperlink r:id="rId8" w:history="1">
        <w:r w:rsidRPr="00CD4C2E">
          <w:rPr>
            <w:rStyle w:val="Hyperlink"/>
            <w:rFonts w:ascii="Times New Roman" w:hAnsi="Times New Roman" w:cs="Times New Roman"/>
            <w:sz w:val="24"/>
            <w:szCs w:val="24"/>
          </w:rPr>
          <w:t>sprendimą</w:t>
        </w:r>
      </w:hyperlink>
      <w:r w:rsidRPr="00CD4C2E">
        <w:rPr>
          <w:rFonts w:ascii="Times New Roman" w:hAnsi="Times New Roman" w:cs="Times New Roman"/>
          <w:sz w:val="24"/>
          <w:szCs w:val="24"/>
        </w:rPr>
        <w:t xml:space="preserve">, kuriame nusprendė, kad po </w:t>
      </w:r>
      <w:r w:rsidRPr="00CD4C2E">
        <w:rPr>
          <w:rFonts w:ascii="Times New Roman" w:hAnsi="Times New Roman" w:cs="Times New Roman"/>
          <w:i/>
          <w:iCs/>
          <w:sz w:val="24"/>
          <w:szCs w:val="24"/>
        </w:rPr>
        <w:t xml:space="preserve">Pastato šildymo ir karšto vandens sistemos priežiūros tvarkos aprašo, patvirtinto Lietuvos Respublikos energetikos ministro 2009 m. lapkričio 26 d. įsakymu Nr. 1 229 „Dėl Pastato šildymo ir karšto vandens sistemos priežiūros tvarkos aprašo patvirtinimo“, 3 priedo 17 ir 18 lentelėmis esančių pastraipų antri sakiniai (energetikos  ministro  2020 m. gegužės 21 d. įsakymo Nr. 1-129 redakcija) tiek, kiek jais nustatyta daugiabučio namo butų ir kitų patalpų savininkų pareiga apmokėti šilumos punkto, kuris nuosavybės teise priklauso šilumos ir (ar) karšto vandens tiekėjui ar tretiesiems asmenims, priežiūros ir eksploatavimo sąnaudas, įskaitant remonto darbams reikalingas medžiagas, atsargines dalis ir įrengimus, kurios nėra įskaičiuotos į šilumos ir karšto vandens sistemos priežiūros ir (ar) eksploatavimo tarifus, </w:t>
      </w:r>
      <w:r w:rsidRPr="00CD4C2E">
        <w:rPr>
          <w:rFonts w:ascii="Times New Roman" w:hAnsi="Times New Roman" w:cs="Times New Roman"/>
          <w:b/>
          <w:bCs/>
          <w:i/>
          <w:iCs/>
          <w:sz w:val="24"/>
          <w:szCs w:val="24"/>
          <w:u w:val="single"/>
        </w:rPr>
        <w:t>prieštarauja Lietuvos Respublikos teisėkūros pagrindų įstatymo 3 straipsnio 2 dalies 7 punktui</w:t>
      </w:r>
      <w:r w:rsidRPr="00CD4C2E">
        <w:rPr>
          <w:rFonts w:ascii="Times New Roman" w:hAnsi="Times New Roman" w:cs="Times New Roman"/>
          <w:i/>
          <w:iCs/>
          <w:sz w:val="24"/>
          <w:szCs w:val="24"/>
          <w:u w:val="single"/>
        </w:rPr>
        <w:t>.</w:t>
      </w:r>
    </w:p>
    <w:p w14:paraId="1C8ACB8A" w14:textId="77777777" w:rsidR="00CD4C2E" w:rsidRPr="00CD4C2E" w:rsidRDefault="00CD4C2E" w:rsidP="00CD4C2E">
      <w:pPr>
        <w:spacing w:after="0" w:line="240" w:lineRule="auto"/>
        <w:jc w:val="both"/>
        <w:rPr>
          <w:rFonts w:ascii="Times New Roman" w:hAnsi="Times New Roman" w:cs="Times New Roman"/>
          <w:sz w:val="24"/>
          <w:szCs w:val="24"/>
        </w:rPr>
      </w:pPr>
    </w:p>
    <w:p w14:paraId="3FC9BEB2" w14:textId="07FAD8C7" w:rsidR="00CD4C2E" w:rsidRDefault="00CD4C2E" w:rsidP="00CD4C2E">
      <w:pPr>
        <w:spacing w:after="0" w:line="240" w:lineRule="auto"/>
        <w:jc w:val="both"/>
        <w:rPr>
          <w:rFonts w:ascii="Times New Roman" w:hAnsi="Times New Roman" w:cs="Times New Roman"/>
          <w:sz w:val="24"/>
          <w:szCs w:val="24"/>
          <w:lang w:bidi="lt-LT"/>
        </w:rPr>
      </w:pPr>
      <w:r w:rsidRPr="00CD4C2E">
        <w:rPr>
          <w:rFonts w:ascii="Times New Roman" w:hAnsi="Times New Roman" w:cs="Times New Roman"/>
          <w:sz w:val="24"/>
          <w:szCs w:val="24"/>
        </w:rPr>
        <w:t>LVAT nurodė, kad Apraše  reglamentuojamas klausimas dėl šilumos punktų priežiūros (eksploatavimo) sąnaudų apmokėjimo, ministro įsakymo lygmens teisės aktu nustatant pareigą  šias sąnaudas padengti daugiabučių namų butų ir kitų patalpų savininkams, yra perteklinis, nes to tiesiogiai Šilumos ūkio įstatymas nenumato. LVAT konstatavo, kad – „teisėkūroje vadovaujamasi šiais principais:  &lt;...&gt; sistemiškumo, reiškiančiu, kad teisės normos turi derėti tarpusavyje, žemesnės teisinės galios teisės aktai neturi prieštarauti aukštesnės teisinės galios teisės aktams &lt;...&gt;“. Paprasčiau kalbant, d</w:t>
      </w:r>
      <w:r w:rsidRPr="00CD4C2E">
        <w:rPr>
          <w:rFonts w:ascii="Times New Roman" w:hAnsi="Times New Roman" w:cs="Times New Roman"/>
          <w:sz w:val="24"/>
          <w:szCs w:val="24"/>
          <w:lang w:bidi="lt-LT"/>
        </w:rPr>
        <w:t>raudžiama žemesnės galios teisės aktais reguliuoti tuos visuomeninius santykius, kurie gali būti reguliuojami tik aukštesnės galios teisės aktais.</w:t>
      </w:r>
    </w:p>
    <w:p w14:paraId="3D5B03C3" w14:textId="67AC35E4" w:rsidR="00CD4C2E" w:rsidRDefault="00CD4C2E" w:rsidP="00CD4C2E">
      <w:pPr>
        <w:spacing w:after="0" w:line="240" w:lineRule="auto"/>
        <w:jc w:val="both"/>
        <w:rPr>
          <w:rFonts w:ascii="Times New Roman" w:hAnsi="Times New Roman" w:cs="Times New Roman"/>
          <w:sz w:val="24"/>
          <w:szCs w:val="24"/>
          <w:lang w:bidi="lt-LT"/>
        </w:rPr>
      </w:pPr>
    </w:p>
    <w:p w14:paraId="6615CA64" w14:textId="77777777" w:rsidR="00CD4C2E" w:rsidRPr="00CD4C2E" w:rsidRDefault="00CD4C2E" w:rsidP="00CD4C2E">
      <w:pPr>
        <w:spacing w:after="0" w:line="240" w:lineRule="auto"/>
        <w:jc w:val="both"/>
        <w:rPr>
          <w:rFonts w:ascii="Times New Roman" w:hAnsi="Times New Roman" w:cs="Times New Roman"/>
          <w:sz w:val="24"/>
          <w:szCs w:val="24"/>
        </w:rPr>
      </w:pPr>
      <w:r w:rsidRPr="00CD4C2E">
        <w:rPr>
          <w:rFonts w:ascii="Times New Roman" w:hAnsi="Times New Roman" w:cs="Times New Roman"/>
          <w:sz w:val="24"/>
          <w:szCs w:val="24"/>
        </w:rPr>
        <w:t xml:space="preserve">Atkreiptinas dėmesys, kad LVAT </w:t>
      </w:r>
      <w:r w:rsidRPr="00CD4C2E">
        <w:rPr>
          <w:rFonts w:ascii="Times New Roman" w:hAnsi="Times New Roman" w:cs="Times New Roman"/>
          <w:b/>
          <w:bCs/>
          <w:sz w:val="24"/>
          <w:szCs w:val="24"/>
        </w:rPr>
        <w:t xml:space="preserve">nepaneigė prievolės, kad gyventojai, kurie savo pastato poreikiams naudoja </w:t>
      </w:r>
      <w:r w:rsidRPr="00CD4C2E">
        <w:rPr>
          <w:rFonts w:ascii="Times New Roman" w:hAnsi="Times New Roman" w:cs="Times New Roman"/>
          <w:sz w:val="24"/>
          <w:szCs w:val="24"/>
        </w:rPr>
        <w:t xml:space="preserve">šilumos tiekėjams ar kitiems asmenims priklausančius šilumos punktus </w:t>
      </w:r>
      <w:r w:rsidRPr="00CD4C2E">
        <w:rPr>
          <w:rFonts w:ascii="Times New Roman" w:hAnsi="Times New Roman" w:cs="Times New Roman"/>
          <w:b/>
          <w:bCs/>
          <w:sz w:val="24"/>
          <w:szCs w:val="24"/>
        </w:rPr>
        <w:t>turi padengti patiriamas sąnaudas</w:t>
      </w:r>
      <w:r w:rsidRPr="00CD4C2E">
        <w:rPr>
          <w:rFonts w:ascii="Times New Roman" w:hAnsi="Times New Roman" w:cs="Times New Roman"/>
          <w:sz w:val="24"/>
          <w:szCs w:val="24"/>
        </w:rPr>
        <w:t xml:space="preserve">, susidarančias dėl šių šilumos punktų eksploatavimo ar remonto.  </w:t>
      </w:r>
    </w:p>
    <w:p w14:paraId="6D02540A" w14:textId="77777777" w:rsidR="00CD4C2E" w:rsidRPr="00CD4C2E" w:rsidRDefault="00CD4C2E" w:rsidP="00CD4C2E">
      <w:pPr>
        <w:spacing w:after="0" w:line="240" w:lineRule="auto"/>
        <w:jc w:val="both"/>
        <w:rPr>
          <w:rFonts w:ascii="Times New Roman" w:hAnsi="Times New Roman" w:cs="Times New Roman"/>
          <w:sz w:val="24"/>
          <w:szCs w:val="24"/>
        </w:rPr>
      </w:pPr>
    </w:p>
    <w:p w14:paraId="549C54CD" w14:textId="1B644DBB" w:rsidR="00CD4C2E" w:rsidRDefault="00CD4C2E" w:rsidP="00CD4C2E">
      <w:pPr>
        <w:spacing w:after="0" w:line="240" w:lineRule="auto"/>
        <w:jc w:val="both"/>
        <w:rPr>
          <w:rFonts w:ascii="Times New Roman" w:hAnsi="Times New Roman" w:cs="Times New Roman"/>
          <w:sz w:val="24"/>
          <w:szCs w:val="24"/>
        </w:rPr>
      </w:pPr>
      <w:r w:rsidRPr="00CD4C2E">
        <w:rPr>
          <w:rFonts w:ascii="Times New Roman" w:hAnsi="Times New Roman" w:cs="Times New Roman"/>
          <w:sz w:val="24"/>
          <w:szCs w:val="24"/>
        </w:rPr>
        <w:lastRenderedPageBreak/>
        <w:t xml:space="preserve">Vadovaujantis Administracinių bylų teisenos įstatymo 118 str. 1 dalimi, </w:t>
      </w:r>
      <w:r w:rsidRPr="00CD4C2E">
        <w:rPr>
          <w:rFonts w:ascii="Times New Roman" w:hAnsi="Times New Roman" w:cs="Times New Roman"/>
          <w:i/>
          <w:iCs/>
          <w:sz w:val="24"/>
          <w:szCs w:val="24"/>
        </w:rPr>
        <w:t>norminis administracinis aktas (ar jo dalis) paprastai negali būti taikomas nuo tos dienos, kai oficialiai buvo paskelbtas įsiteisėjęs administracinio teismo sprendimas dėl to norminio administracinio akto (ar jo dalies) pripažinimo neteisėtu</w:t>
      </w:r>
      <w:r w:rsidRPr="00CD4C2E">
        <w:rPr>
          <w:rFonts w:ascii="Times New Roman" w:hAnsi="Times New Roman" w:cs="Times New Roman"/>
          <w:sz w:val="24"/>
          <w:szCs w:val="24"/>
        </w:rPr>
        <w:t>.</w:t>
      </w:r>
    </w:p>
    <w:p w14:paraId="7206B0C2" w14:textId="05B7FAAA" w:rsidR="00CD4C2E" w:rsidRDefault="00CD4C2E" w:rsidP="00CD4C2E">
      <w:pPr>
        <w:spacing w:after="0" w:line="240" w:lineRule="auto"/>
        <w:jc w:val="both"/>
        <w:rPr>
          <w:rFonts w:ascii="Times New Roman" w:hAnsi="Times New Roman" w:cs="Times New Roman"/>
          <w:sz w:val="24"/>
          <w:szCs w:val="24"/>
        </w:rPr>
      </w:pPr>
    </w:p>
    <w:p w14:paraId="2BC10509" w14:textId="77777777" w:rsidR="00CD4C2E" w:rsidRPr="00CD4C2E" w:rsidRDefault="00CD4C2E" w:rsidP="00CD4C2E">
      <w:pPr>
        <w:spacing w:after="0" w:line="240" w:lineRule="auto"/>
        <w:jc w:val="both"/>
        <w:rPr>
          <w:rFonts w:ascii="Times New Roman" w:hAnsi="Times New Roman" w:cs="Times New Roman"/>
          <w:sz w:val="24"/>
          <w:szCs w:val="24"/>
        </w:rPr>
      </w:pPr>
      <w:r w:rsidRPr="00CD4C2E">
        <w:rPr>
          <w:rFonts w:ascii="Times New Roman" w:hAnsi="Times New Roman" w:cs="Times New Roman"/>
          <w:sz w:val="24"/>
          <w:szCs w:val="24"/>
        </w:rPr>
        <w:t xml:space="preserve">Šiuo metu dalis šilumos vartotojų turi savo nuosavybėje šilumos punktus ir apmoka jų sąnaudas tiesiogiai, o kiti besinaudojantys svetimu turtu už tai nemoka, todėl šias sąnaudas iš esmės padengia visi šilumos vartotojai, o tai yra nesąžininga ir neteisinga.  </w:t>
      </w:r>
    </w:p>
    <w:p w14:paraId="1BDC5377" w14:textId="77777777" w:rsidR="00CD4C2E" w:rsidRPr="00CD4C2E" w:rsidRDefault="00CD4C2E" w:rsidP="00CD4C2E">
      <w:pPr>
        <w:spacing w:after="0" w:line="240" w:lineRule="auto"/>
        <w:jc w:val="both"/>
        <w:rPr>
          <w:rFonts w:ascii="Times New Roman" w:hAnsi="Times New Roman" w:cs="Times New Roman"/>
          <w:sz w:val="24"/>
          <w:szCs w:val="24"/>
        </w:rPr>
      </w:pPr>
    </w:p>
    <w:p w14:paraId="7E180CB8" w14:textId="6E7AC343" w:rsidR="00CD4C2E" w:rsidRDefault="00CD4C2E" w:rsidP="00CD4C2E">
      <w:pPr>
        <w:spacing w:after="0" w:line="240" w:lineRule="auto"/>
        <w:jc w:val="both"/>
        <w:rPr>
          <w:rFonts w:ascii="Times New Roman" w:hAnsi="Times New Roman" w:cs="Times New Roman"/>
          <w:sz w:val="24"/>
          <w:szCs w:val="24"/>
        </w:rPr>
      </w:pPr>
      <w:r w:rsidRPr="00CD4C2E">
        <w:rPr>
          <w:rFonts w:ascii="Times New Roman" w:hAnsi="Times New Roman" w:cs="Times New Roman"/>
          <w:sz w:val="24"/>
          <w:szCs w:val="24"/>
        </w:rPr>
        <w:t>LŠTA šiuo metu rengia ir skubos tvarka pateiks savo pasiūlymus reikiamiems teisės aktų pakeitimams atlikti, kad pašalinti šią teisinę koliziją. Akivaizdu, kad jeigu šilumos punktas yra neatskiriama pastato šildymo ir karšto vandens ruošimo dalis, tai jo sąnaudas, kaip ir kitas pastato eksploatavimo išlaidas, privalo dengti tik tame pastate esantys šilumos vartotojai.</w:t>
      </w:r>
    </w:p>
    <w:p w14:paraId="23E2A1E6" w14:textId="63C63D80" w:rsidR="000B0904" w:rsidRDefault="00D718B2" w:rsidP="00CD4C2E">
      <w:pPr>
        <w:spacing w:after="0" w:line="240" w:lineRule="auto"/>
        <w:jc w:val="both"/>
        <w:rPr>
          <w:rFonts w:ascii="Times New Roman" w:hAnsi="Times New Roman"/>
          <w:sz w:val="24"/>
        </w:rPr>
      </w:pPr>
      <w:r>
        <w:rPr>
          <w:rFonts w:ascii="Times New Roman" w:hAnsi="Times New Roman"/>
          <w:sz w:val="24"/>
        </w:rPr>
        <w:tab/>
      </w:r>
    </w:p>
    <w:p w14:paraId="02203FBB" w14:textId="61D47C3F" w:rsidR="00881151" w:rsidRDefault="00881151" w:rsidP="00CD4C2E">
      <w:pPr>
        <w:spacing w:after="0" w:line="240" w:lineRule="auto"/>
        <w:jc w:val="both"/>
        <w:rPr>
          <w:rFonts w:ascii="Times New Roman" w:hAnsi="Times New Roman"/>
          <w:sz w:val="24"/>
        </w:rPr>
      </w:pPr>
    </w:p>
    <w:p w14:paraId="5CE7BD3A" w14:textId="77777777" w:rsidR="001E3FD9" w:rsidRDefault="001E3FD9" w:rsidP="00881151">
      <w:pPr>
        <w:spacing w:after="0" w:line="240" w:lineRule="auto"/>
        <w:jc w:val="both"/>
        <w:rPr>
          <w:rFonts w:ascii="Times New Roman" w:hAnsi="Times New Roman"/>
          <w:sz w:val="24"/>
        </w:rPr>
      </w:pPr>
    </w:p>
    <w:p w14:paraId="009C6987" w14:textId="0B89158C" w:rsidR="00881151" w:rsidRDefault="00881151" w:rsidP="00881151">
      <w:pPr>
        <w:spacing w:after="0" w:line="240" w:lineRule="auto"/>
        <w:jc w:val="both"/>
        <w:rPr>
          <w:rFonts w:ascii="Times New Roman" w:hAnsi="Times New Roman"/>
          <w:sz w:val="24"/>
        </w:rPr>
      </w:pPr>
    </w:p>
    <w:p w14:paraId="250C4380" w14:textId="77777777" w:rsidR="00881151" w:rsidRDefault="00881151" w:rsidP="00881151">
      <w:pPr>
        <w:spacing w:after="0" w:line="240" w:lineRule="auto"/>
        <w:jc w:val="both"/>
        <w:rPr>
          <w:rFonts w:ascii="Times New Roman" w:hAnsi="Times New Roman" w:cs="Times New Roman"/>
          <w:sz w:val="24"/>
          <w:szCs w:val="24"/>
        </w:rPr>
      </w:pPr>
    </w:p>
    <w:p w14:paraId="21F8EC71" w14:textId="65936A23" w:rsidR="00033889" w:rsidRDefault="00033889" w:rsidP="00E85E32">
      <w:pPr>
        <w:rPr>
          <w:rFonts w:ascii="Times New Roman" w:hAnsi="Times New Roman" w:cs="Times New Roman"/>
          <w:sz w:val="24"/>
          <w:szCs w:val="24"/>
        </w:rPr>
      </w:pPr>
    </w:p>
    <w:p w14:paraId="635BBEAB" w14:textId="51AE8CEC" w:rsidR="00033889" w:rsidRDefault="00033889" w:rsidP="00A5378F">
      <w:pPr>
        <w:ind w:firstLine="851"/>
        <w:rPr>
          <w:rFonts w:ascii="Times New Roman" w:hAnsi="Times New Roman" w:cs="Times New Roman"/>
          <w:sz w:val="24"/>
          <w:szCs w:val="24"/>
        </w:rPr>
      </w:pPr>
    </w:p>
    <w:p w14:paraId="186F321C" w14:textId="77777777" w:rsidR="00033889" w:rsidRDefault="00033889" w:rsidP="009B1ADB">
      <w:pPr>
        <w:spacing w:line="240" w:lineRule="auto"/>
        <w:ind w:left="851" w:firstLine="851"/>
        <w:rPr>
          <w:rFonts w:ascii="Times New Roman" w:hAnsi="Times New Roman" w:cs="Times New Roman"/>
          <w:sz w:val="24"/>
          <w:szCs w:val="24"/>
        </w:rPr>
      </w:pPr>
      <w:r w:rsidRPr="005B3F1E">
        <w:rPr>
          <w:rFonts w:ascii="Times New Roman" w:hAnsi="Times New Roman" w:cs="Times New Roman"/>
          <w:sz w:val="24"/>
          <w:szCs w:val="24"/>
        </w:rPr>
        <w:t xml:space="preserve">Prezidentas </w:t>
      </w:r>
      <w:r w:rsidRPr="005B3F1E">
        <w:rPr>
          <w:rFonts w:ascii="Times New Roman" w:hAnsi="Times New Roman" w:cs="Times New Roman"/>
          <w:sz w:val="24"/>
          <w:szCs w:val="24"/>
        </w:rPr>
        <w:tab/>
      </w:r>
      <w:r w:rsidRPr="005B3F1E">
        <w:rPr>
          <w:rFonts w:ascii="Times New Roman" w:hAnsi="Times New Roman" w:cs="Times New Roman"/>
          <w:sz w:val="24"/>
          <w:szCs w:val="24"/>
        </w:rPr>
        <w:tab/>
      </w:r>
      <w:r w:rsidRPr="005B3F1E">
        <w:rPr>
          <w:rFonts w:ascii="Times New Roman" w:hAnsi="Times New Roman" w:cs="Times New Roman"/>
          <w:sz w:val="24"/>
          <w:szCs w:val="24"/>
        </w:rPr>
        <w:tab/>
      </w:r>
      <w:r w:rsidRPr="005B3F1E">
        <w:rPr>
          <w:rFonts w:ascii="Times New Roman" w:hAnsi="Times New Roman" w:cs="Times New Roman"/>
          <w:sz w:val="24"/>
          <w:szCs w:val="24"/>
        </w:rPr>
        <w:tab/>
      </w:r>
      <w:r>
        <w:rPr>
          <w:rFonts w:ascii="Times New Roman" w:hAnsi="Times New Roman" w:cs="Times New Roman"/>
          <w:sz w:val="24"/>
          <w:szCs w:val="24"/>
        </w:rPr>
        <w:t xml:space="preserve">dr. </w:t>
      </w:r>
      <w:r w:rsidRPr="00D200FB">
        <w:rPr>
          <w:rFonts w:ascii="Times New Roman" w:hAnsi="Times New Roman" w:cs="Times New Roman"/>
          <w:sz w:val="24"/>
          <w:szCs w:val="24"/>
        </w:rPr>
        <w:t>Valdas Lukoševičius</w:t>
      </w:r>
    </w:p>
    <w:p w14:paraId="7CE21E7B" w14:textId="210C88F7" w:rsidR="00033889" w:rsidRDefault="00033889" w:rsidP="00033889">
      <w:pPr>
        <w:spacing w:line="240" w:lineRule="auto"/>
        <w:rPr>
          <w:rFonts w:ascii="Times New Roman" w:hAnsi="Times New Roman" w:cs="Times New Roman"/>
          <w:sz w:val="24"/>
          <w:szCs w:val="24"/>
        </w:rPr>
      </w:pPr>
    </w:p>
    <w:p w14:paraId="78EF2A5E" w14:textId="0A3952A9" w:rsidR="004D5F63" w:rsidRDefault="004D5F63" w:rsidP="00033889">
      <w:pPr>
        <w:spacing w:line="240" w:lineRule="auto"/>
        <w:rPr>
          <w:rFonts w:ascii="Times New Roman" w:hAnsi="Times New Roman" w:cs="Times New Roman"/>
          <w:sz w:val="24"/>
          <w:szCs w:val="24"/>
        </w:rPr>
      </w:pPr>
    </w:p>
    <w:p w14:paraId="5424D045" w14:textId="2356CDB8" w:rsidR="004D5F63" w:rsidRDefault="004D5F63" w:rsidP="00033889">
      <w:pPr>
        <w:spacing w:line="240" w:lineRule="auto"/>
        <w:rPr>
          <w:rFonts w:ascii="Times New Roman" w:hAnsi="Times New Roman" w:cs="Times New Roman"/>
          <w:sz w:val="24"/>
          <w:szCs w:val="24"/>
        </w:rPr>
      </w:pPr>
    </w:p>
    <w:p w14:paraId="541EDFD6" w14:textId="2FAF67D0" w:rsidR="004D5F63" w:rsidRDefault="004D5F63" w:rsidP="00033889">
      <w:pPr>
        <w:spacing w:line="240" w:lineRule="auto"/>
        <w:rPr>
          <w:rFonts w:ascii="Times New Roman" w:hAnsi="Times New Roman" w:cs="Times New Roman"/>
          <w:sz w:val="24"/>
          <w:szCs w:val="24"/>
        </w:rPr>
      </w:pPr>
    </w:p>
    <w:p w14:paraId="772E51C1" w14:textId="470345FC" w:rsidR="00CD4C2E" w:rsidRDefault="00CD4C2E" w:rsidP="00033889">
      <w:pPr>
        <w:spacing w:line="240" w:lineRule="auto"/>
        <w:rPr>
          <w:rFonts w:ascii="Times New Roman" w:hAnsi="Times New Roman" w:cs="Times New Roman"/>
          <w:sz w:val="24"/>
          <w:szCs w:val="24"/>
        </w:rPr>
      </w:pPr>
    </w:p>
    <w:p w14:paraId="63A0AB89" w14:textId="25E1A28E" w:rsidR="00CD4C2E" w:rsidRDefault="00CD4C2E" w:rsidP="00033889">
      <w:pPr>
        <w:spacing w:line="240" w:lineRule="auto"/>
        <w:rPr>
          <w:rFonts w:ascii="Times New Roman" w:hAnsi="Times New Roman" w:cs="Times New Roman"/>
          <w:sz w:val="24"/>
          <w:szCs w:val="24"/>
        </w:rPr>
      </w:pPr>
    </w:p>
    <w:p w14:paraId="5C25D7C2" w14:textId="32D313D4" w:rsidR="00CD4C2E" w:rsidRDefault="00CD4C2E" w:rsidP="00033889">
      <w:pPr>
        <w:spacing w:line="240" w:lineRule="auto"/>
        <w:rPr>
          <w:rFonts w:ascii="Times New Roman" w:hAnsi="Times New Roman" w:cs="Times New Roman"/>
          <w:sz w:val="24"/>
          <w:szCs w:val="24"/>
        </w:rPr>
      </w:pPr>
    </w:p>
    <w:p w14:paraId="66AC8A80" w14:textId="044A2C37" w:rsidR="00CD4C2E" w:rsidRDefault="00CD4C2E" w:rsidP="00033889">
      <w:pPr>
        <w:spacing w:line="240" w:lineRule="auto"/>
        <w:rPr>
          <w:rFonts w:ascii="Times New Roman" w:hAnsi="Times New Roman" w:cs="Times New Roman"/>
          <w:sz w:val="24"/>
          <w:szCs w:val="24"/>
        </w:rPr>
      </w:pPr>
    </w:p>
    <w:p w14:paraId="2C8EFA0C" w14:textId="041B5D74" w:rsidR="00CD4C2E" w:rsidRDefault="00CD4C2E" w:rsidP="00033889">
      <w:pPr>
        <w:spacing w:line="240" w:lineRule="auto"/>
        <w:rPr>
          <w:rFonts w:ascii="Times New Roman" w:hAnsi="Times New Roman" w:cs="Times New Roman"/>
          <w:sz w:val="24"/>
          <w:szCs w:val="24"/>
        </w:rPr>
      </w:pPr>
    </w:p>
    <w:p w14:paraId="28DCDC5F" w14:textId="3BFEE8F3" w:rsidR="00CD4C2E" w:rsidRDefault="00CD4C2E" w:rsidP="00033889">
      <w:pPr>
        <w:spacing w:line="240" w:lineRule="auto"/>
        <w:rPr>
          <w:rFonts w:ascii="Times New Roman" w:hAnsi="Times New Roman" w:cs="Times New Roman"/>
          <w:sz w:val="24"/>
          <w:szCs w:val="24"/>
        </w:rPr>
      </w:pPr>
    </w:p>
    <w:p w14:paraId="3D3B9436" w14:textId="31B19E9B" w:rsidR="00CD4C2E" w:rsidRDefault="00CD4C2E" w:rsidP="00033889">
      <w:pPr>
        <w:spacing w:line="240" w:lineRule="auto"/>
        <w:rPr>
          <w:rFonts w:ascii="Times New Roman" w:hAnsi="Times New Roman" w:cs="Times New Roman"/>
          <w:sz w:val="24"/>
          <w:szCs w:val="24"/>
        </w:rPr>
      </w:pPr>
    </w:p>
    <w:p w14:paraId="061E62A0" w14:textId="77777777" w:rsidR="00CD4C2E" w:rsidRDefault="00CD4C2E" w:rsidP="00033889">
      <w:pPr>
        <w:spacing w:line="240" w:lineRule="auto"/>
        <w:rPr>
          <w:rFonts w:ascii="Times New Roman" w:hAnsi="Times New Roman" w:cs="Times New Roman"/>
          <w:sz w:val="24"/>
          <w:szCs w:val="24"/>
        </w:rPr>
      </w:pPr>
    </w:p>
    <w:p w14:paraId="09B84B60" w14:textId="77777777" w:rsidR="00033889" w:rsidRDefault="00033889" w:rsidP="00033889">
      <w:pPr>
        <w:spacing w:line="240" w:lineRule="auto"/>
        <w:rPr>
          <w:rFonts w:ascii="Times New Roman" w:hAnsi="Times New Roman" w:cs="Times New Roman"/>
          <w:sz w:val="24"/>
          <w:szCs w:val="24"/>
        </w:rPr>
      </w:pPr>
    </w:p>
    <w:p w14:paraId="7E304A8F" w14:textId="77777777" w:rsidR="00033889" w:rsidRPr="00525648" w:rsidRDefault="00033889" w:rsidP="00033889">
      <w:pPr>
        <w:spacing w:line="240" w:lineRule="auto"/>
        <w:rPr>
          <w:rFonts w:ascii="Times New Roman" w:hAnsi="Times New Roman" w:cs="Times New Roman"/>
          <w:sz w:val="24"/>
          <w:szCs w:val="24"/>
        </w:rPr>
      </w:pPr>
    </w:p>
    <w:p w14:paraId="30611BAB" w14:textId="4C8C1A23" w:rsidR="00033889" w:rsidRPr="00E85E32"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9"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033889" w:rsidRPr="00E85E32"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B0904"/>
    <w:rsid w:val="000F68A9"/>
    <w:rsid w:val="001528B1"/>
    <w:rsid w:val="001E2A47"/>
    <w:rsid w:val="001E3FD9"/>
    <w:rsid w:val="00260E6D"/>
    <w:rsid w:val="003428DA"/>
    <w:rsid w:val="003B7217"/>
    <w:rsid w:val="00476F50"/>
    <w:rsid w:val="00477229"/>
    <w:rsid w:val="00494B48"/>
    <w:rsid w:val="004C4D63"/>
    <w:rsid w:val="004D5F63"/>
    <w:rsid w:val="00574E9C"/>
    <w:rsid w:val="0057673E"/>
    <w:rsid w:val="005A234D"/>
    <w:rsid w:val="005C03EC"/>
    <w:rsid w:val="00792361"/>
    <w:rsid w:val="00881151"/>
    <w:rsid w:val="008A2DF2"/>
    <w:rsid w:val="008E3952"/>
    <w:rsid w:val="0092382C"/>
    <w:rsid w:val="009B07B7"/>
    <w:rsid w:val="009B1ADB"/>
    <w:rsid w:val="00A5378F"/>
    <w:rsid w:val="00A575B5"/>
    <w:rsid w:val="00AA4291"/>
    <w:rsid w:val="00AF4A4D"/>
    <w:rsid w:val="00C74048"/>
    <w:rsid w:val="00CD4C2E"/>
    <w:rsid w:val="00D718B2"/>
    <w:rsid w:val="00DF79F0"/>
    <w:rsid w:val="00E85E32"/>
    <w:rsid w:val="00EB218B"/>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ta.lt/wp-content/uploads/2021/04/LVATnutartis2021-03-17Nr.AB-5475-3-62-3-00001-2019-7_kompensacijos.doc" TargetMode="External"/><Relationship Id="rId3" Type="http://schemas.openxmlformats.org/officeDocument/2006/relationships/styles" Target="styles.xml"/><Relationship Id="rId7" Type="http://schemas.openxmlformats.org/officeDocument/2006/relationships/hyperlink" Target="https://www.e-tar.lt/portal/legalAct.html?documentId=e16d09c09f2411ea9515f752ff221e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tas@lst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3196</Words>
  <Characters>1822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Mantas</cp:lastModifiedBy>
  <cp:revision>2</cp:revision>
  <dcterms:created xsi:type="dcterms:W3CDTF">2021-04-08T06:39:00Z</dcterms:created>
  <dcterms:modified xsi:type="dcterms:W3CDTF">2021-04-08T06:39:00Z</dcterms:modified>
</cp:coreProperties>
</file>