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77777777"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r w:rsidRPr="00862A17">
              <w:rPr>
                <w:rFonts w:ascii="Gotham Book" w:hAnsi="Gotham Book" w:cs="Gotham Pro Regular"/>
                <w:color w:val="585858"/>
                <w:sz w:val="16"/>
                <w:szCs w:val="16"/>
              </w:rPr>
              <w:t>info@lsta.lt,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65AE57A0" w:rsidR="0092382C" w:rsidRDefault="001528B1" w:rsidP="009238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w:t>
            </w:r>
            <w:r w:rsidR="009B07B7">
              <w:rPr>
                <w:rFonts w:ascii="Times New Roman" w:hAnsi="Times New Roman" w:cs="Times New Roman"/>
                <w:b/>
                <w:sz w:val="24"/>
                <w:szCs w:val="24"/>
              </w:rPr>
              <w:t xml:space="preserve">publikos </w:t>
            </w:r>
            <w:r w:rsidR="00AC5FD1">
              <w:rPr>
                <w:rFonts w:ascii="Times New Roman" w:hAnsi="Times New Roman" w:cs="Times New Roman"/>
                <w:b/>
                <w:sz w:val="24"/>
                <w:szCs w:val="24"/>
              </w:rPr>
              <w:t>energetikos</w:t>
            </w:r>
            <w:r w:rsidR="009B07B7">
              <w:rPr>
                <w:rFonts w:ascii="Times New Roman" w:hAnsi="Times New Roman" w:cs="Times New Roman"/>
                <w:b/>
                <w:sz w:val="24"/>
                <w:szCs w:val="24"/>
              </w:rPr>
              <w:t xml:space="preserve"> ministerijai</w:t>
            </w:r>
          </w:p>
          <w:p w14:paraId="60997654" w14:textId="7A5D5ACA" w:rsidR="009B07B7" w:rsidRDefault="009B07B7" w:rsidP="0092382C">
            <w:pPr>
              <w:spacing w:after="0" w:line="240" w:lineRule="auto"/>
              <w:jc w:val="both"/>
              <w:rPr>
                <w:rFonts w:ascii="Times New Roman" w:hAnsi="Times New Roman" w:cs="Times New Roman"/>
                <w:b/>
                <w:sz w:val="24"/>
                <w:szCs w:val="24"/>
              </w:rPr>
            </w:pPr>
          </w:p>
          <w:p w14:paraId="12C8476B" w14:textId="6FDD1743" w:rsidR="00A5378F" w:rsidRPr="00D200FB" w:rsidRDefault="00A5378F" w:rsidP="00E85E32">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AF7D96">
            <w:pPr>
              <w:spacing w:after="0" w:line="240" w:lineRule="auto"/>
              <w:rPr>
                <w:rFonts w:ascii="Times New Roman" w:hAnsi="Times New Roman" w:cs="Times New Roman"/>
                <w:bCs/>
                <w:sz w:val="24"/>
                <w:szCs w:val="24"/>
              </w:rPr>
            </w:pPr>
          </w:p>
        </w:tc>
        <w:tc>
          <w:tcPr>
            <w:tcW w:w="1418" w:type="dxa"/>
          </w:tcPr>
          <w:p w14:paraId="4D429152" w14:textId="3717B69C"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20</w:t>
            </w:r>
            <w:r w:rsidRPr="00D200FB">
              <w:rPr>
                <w:rFonts w:ascii="Times New Roman" w:hAnsi="Times New Roman" w:cs="Times New Roman"/>
                <w:bCs/>
                <w:sz w:val="24"/>
                <w:szCs w:val="24"/>
              </w:rPr>
              <w:t>-</w:t>
            </w:r>
            <w:r w:rsidR="009B07B7">
              <w:rPr>
                <w:rFonts w:ascii="Times New Roman" w:hAnsi="Times New Roman" w:cs="Times New Roman"/>
                <w:bCs/>
                <w:sz w:val="24"/>
                <w:szCs w:val="24"/>
              </w:rPr>
              <w:t>1</w:t>
            </w:r>
            <w:r w:rsidR="00AC5FD1">
              <w:rPr>
                <w:rFonts w:ascii="Times New Roman" w:hAnsi="Times New Roman" w:cs="Times New Roman"/>
                <w:bCs/>
                <w:sz w:val="24"/>
                <w:szCs w:val="24"/>
              </w:rPr>
              <w:t>2</w:t>
            </w:r>
            <w:r w:rsidRPr="00D200FB">
              <w:rPr>
                <w:rFonts w:ascii="Times New Roman" w:hAnsi="Times New Roman" w:cs="Times New Roman"/>
                <w:bCs/>
                <w:sz w:val="24"/>
                <w:szCs w:val="24"/>
              </w:rPr>
              <w:t>-</w:t>
            </w:r>
            <w:r w:rsidR="00D837B3">
              <w:rPr>
                <w:rFonts w:ascii="Times New Roman" w:hAnsi="Times New Roman" w:cs="Times New Roman"/>
                <w:bCs/>
                <w:sz w:val="24"/>
                <w:szCs w:val="24"/>
              </w:rPr>
              <w:t>30</w:t>
            </w:r>
          </w:p>
        </w:tc>
        <w:tc>
          <w:tcPr>
            <w:tcW w:w="2401" w:type="dxa"/>
          </w:tcPr>
          <w:p w14:paraId="0DCDE756" w14:textId="51DC1163"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926858">
              <w:rPr>
                <w:rFonts w:ascii="Times New Roman" w:hAnsi="Times New Roman" w:cs="Times New Roman"/>
                <w:bCs/>
                <w:sz w:val="24"/>
                <w:szCs w:val="24"/>
              </w:rPr>
              <w:t xml:space="preserve"> 1</w:t>
            </w:r>
            <w:r w:rsidR="00564C00">
              <w:rPr>
                <w:rFonts w:ascii="Times New Roman" w:hAnsi="Times New Roman" w:cs="Times New Roman"/>
                <w:bCs/>
                <w:sz w:val="24"/>
                <w:szCs w:val="24"/>
              </w:rPr>
              <w:t>44</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AF7D96">
            <w:pPr>
              <w:pStyle w:val="Heading1"/>
              <w:rPr>
                <w:szCs w:val="24"/>
              </w:rPr>
            </w:pPr>
            <w:r w:rsidRPr="00D200FB">
              <w:rPr>
                <w:szCs w:val="24"/>
              </w:rPr>
              <w:t>Į</w:t>
            </w:r>
          </w:p>
        </w:tc>
        <w:tc>
          <w:tcPr>
            <w:tcW w:w="1418" w:type="dxa"/>
          </w:tcPr>
          <w:p w14:paraId="094B5206" w14:textId="16CE2F23" w:rsidR="00A5378F" w:rsidRPr="00D200FB" w:rsidRDefault="00A5378F" w:rsidP="00AF7D96">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AF7D96">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AF7D96">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AF7D96">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AF7D96">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AF7D96">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5528ED74" w:rsidR="00A5378F" w:rsidRPr="00564C00" w:rsidRDefault="00A5378F" w:rsidP="00AF7D96">
            <w:pPr>
              <w:spacing w:after="0" w:line="240" w:lineRule="auto"/>
              <w:jc w:val="both"/>
              <w:rPr>
                <w:rFonts w:ascii="Times New Roman" w:hAnsi="Times New Roman" w:cs="Times New Roman"/>
                <w:b/>
                <w:bCs/>
                <w:caps/>
                <w:sz w:val="24"/>
                <w:szCs w:val="24"/>
              </w:rPr>
            </w:pPr>
            <w:r w:rsidRPr="00564C00">
              <w:rPr>
                <w:rFonts w:ascii="Times New Roman" w:hAnsi="Times New Roman" w:cs="Times New Roman"/>
                <w:b/>
                <w:bCs/>
                <w:caps/>
                <w:sz w:val="24"/>
                <w:szCs w:val="24"/>
              </w:rPr>
              <w:t>DĖL</w:t>
            </w:r>
            <w:r w:rsidR="00616C69" w:rsidRPr="00564C00">
              <w:rPr>
                <w:rFonts w:ascii="Times New Roman" w:hAnsi="Times New Roman" w:cs="Times New Roman"/>
                <w:b/>
                <w:bCs/>
                <w:caps/>
                <w:sz w:val="24"/>
                <w:szCs w:val="24"/>
              </w:rPr>
              <w:t xml:space="preserve"> ELEKTROS </w:t>
            </w:r>
            <w:r w:rsidR="00350FC9" w:rsidRPr="00564C00">
              <w:rPr>
                <w:rFonts w:ascii="Times New Roman" w:hAnsi="Times New Roman" w:cs="Times New Roman"/>
                <w:b/>
                <w:bCs/>
                <w:caps/>
                <w:sz w:val="24"/>
                <w:szCs w:val="24"/>
              </w:rPr>
              <w:t xml:space="preserve">SEKTORIUI REIKALINGŲ </w:t>
            </w:r>
            <w:r w:rsidR="00616C69" w:rsidRPr="00564C00">
              <w:rPr>
                <w:rFonts w:ascii="Times New Roman" w:hAnsi="Times New Roman" w:cs="Times New Roman"/>
                <w:b/>
                <w:bCs/>
                <w:caps/>
                <w:sz w:val="24"/>
                <w:szCs w:val="24"/>
              </w:rPr>
              <w:t xml:space="preserve">SISTEMINIŲ PASLAUGŲ </w:t>
            </w:r>
            <w:r w:rsidR="001528B1" w:rsidRPr="00564C00">
              <w:rPr>
                <w:sz w:val="24"/>
                <w:szCs w:val="24"/>
              </w:rPr>
              <w:t xml:space="preserve"> </w:t>
            </w:r>
          </w:p>
        </w:tc>
      </w:tr>
    </w:tbl>
    <w:p w14:paraId="74D32727" w14:textId="77777777" w:rsidR="00A5378F" w:rsidRDefault="00A5378F" w:rsidP="00A5378F">
      <w:pPr>
        <w:jc w:val="both"/>
        <w:rPr>
          <w:rFonts w:ascii="Times New Roman" w:hAnsi="Times New Roman" w:cs="Times New Roman"/>
          <w:sz w:val="24"/>
          <w:szCs w:val="24"/>
        </w:rPr>
      </w:pPr>
    </w:p>
    <w:p w14:paraId="6391F223" w14:textId="77777777" w:rsidR="00A5378F" w:rsidRDefault="00A5378F" w:rsidP="00A5378F">
      <w:pPr>
        <w:spacing w:after="0" w:line="240" w:lineRule="auto"/>
        <w:jc w:val="both"/>
        <w:rPr>
          <w:rFonts w:ascii="Times New Roman" w:hAnsi="Times New Roman" w:cs="Times New Roman"/>
          <w:sz w:val="24"/>
          <w:szCs w:val="24"/>
        </w:rPr>
      </w:pPr>
    </w:p>
    <w:p w14:paraId="385B270E" w14:textId="0BB2E773" w:rsidR="00CF76FE" w:rsidRPr="00CF76FE" w:rsidRDefault="00D718B2" w:rsidP="009D57F7">
      <w:pPr>
        <w:spacing w:after="0"/>
        <w:jc w:val="both"/>
        <w:rPr>
          <w:rFonts w:ascii="Times New Roman" w:hAnsi="Times New Roman"/>
          <w:sz w:val="24"/>
        </w:rPr>
      </w:pPr>
      <w:r>
        <w:rPr>
          <w:rFonts w:ascii="Times New Roman" w:hAnsi="Times New Roman"/>
          <w:sz w:val="24"/>
        </w:rPr>
        <w:tab/>
      </w:r>
      <w:r w:rsidR="0071246A">
        <w:rPr>
          <w:rFonts w:ascii="Times New Roman" w:hAnsi="Times New Roman"/>
          <w:sz w:val="24"/>
        </w:rPr>
        <w:t>Šalyje didžioji dalis elektros yra importuojama iš kitų valstybių</w:t>
      </w:r>
      <w:r w:rsidR="00CF76FE">
        <w:rPr>
          <w:rFonts w:ascii="Times New Roman" w:hAnsi="Times New Roman"/>
          <w:sz w:val="24"/>
        </w:rPr>
        <w:t xml:space="preserve">, </w:t>
      </w:r>
      <w:r w:rsidR="009D57F7">
        <w:rPr>
          <w:rFonts w:ascii="Times New Roman" w:hAnsi="Times New Roman"/>
          <w:sz w:val="24"/>
        </w:rPr>
        <w:t>tačiau</w:t>
      </w:r>
      <w:r w:rsidR="00CF76FE">
        <w:rPr>
          <w:rFonts w:ascii="Times New Roman" w:hAnsi="Times New Roman"/>
          <w:sz w:val="24"/>
        </w:rPr>
        <w:t xml:space="preserve"> vietinė</w:t>
      </w:r>
      <w:r w:rsidR="009D57F7">
        <w:rPr>
          <w:rFonts w:ascii="Times New Roman" w:hAnsi="Times New Roman"/>
          <w:sz w:val="24"/>
        </w:rPr>
        <w:t>s</w:t>
      </w:r>
      <w:r w:rsidR="00CF76FE">
        <w:rPr>
          <w:rFonts w:ascii="Times New Roman" w:hAnsi="Times New Roman"/>
          <w:sz w:val="24"/>
        </w:rPr>
        <w:t xml:space="preserve"> elektros energij</w:t>
      </w:r>
      <w:r w:rsidR="00350FC9">
        <w:rPr>
          <w:rFonts w:ascii="Times New Roman" w:hAnsi="Times New Roman"/>
          <w:sz w:val="24"/>
        </w:rPr>
        <w:t xml:space="preserve">a </w:t>
      </w:r>
      <w:r w:rsidR="00350FC9" w:rsidRPr="00926858">
        <w:rPr>
          <w:rFonts w:ascii="Times New Roman" w:hAnsi="Times New Roman"/>
          <w:sz w:val="24"/>
        </w:rPr>
        <w:t>daugiausiai</w:t>
      </w:r>
      <w:r w:rsidR="00350FC9">
        <w:rPr>
          <w:rFonts w:ascii="Times New Roman" w:hAnsi="Times New Roman"/>
          <w:sz w:val="24"/>
        </w:rPr>
        <w:t xml:space="preserve"> </w:t>
      </w:r>
      <w:r w:rsidR="00D2414E">
        <w:rPr>
          <w:rFonts w:ascii="Times New Roman" w:hAnsi="Times New Roman"/>
          <w:sz w:val="24"/>
        </w:rPr>
        <w:t>pa</w:t>
      </w:r>
      <w:r w:rsidR="00CF76FE">
        <w:rPr>
          <w:rFonts w:ascii="Times New Roman" w:hAnsi="Times New Roman"/>
          <w:sz w:val="24"/>
        </w:rPr>
        <w:t xml:space="preserve">gaminama iš </w:t>
      </w:r>
      <w:r w:rsidR="000E65F0">
        <w:rPr>
          <w:rFonts w:ascii="Times New Roman" w:hAnsi="Times New Roman"/>
          <w:sz w:val="24"/>
        </w:rPr>
        <w:t xml:space="preserve">gana nestabiliai ir neprognozuojamai prieinamų </w:t>
      </w:r>
      <w:r w:rsidR="00D2414E">
        <w:rPr>
          <w:rFonts w:ascii="Times New Roman" w:hAnsi="Times New Roman"/>
          <w:sz w:val="24"/>
        </w:rPr>
        <w:t>atsinaujinančių energijos išteklių (toliau – AEI)</w:t>
      </w:r>
      <w:r w:rsidR="00CF76FE">
        <w:rPr>
          <w:rFonts w:ascii="Times New Roman" w:hAnsi="Times New Roman"/>
          <w:sz w:val="24"/>
        </w:rPr>
        <w:t xml:space="preserve">. Energetikos ministerija </w:t>
      </w:r>
      <w:r w:rsidR="00CF76FE" w:rsidRPr="00CF76FE">
        <w:rPr>
          <w:rFonts w:ascii="Times New Roman" w:hAnsi="Times New Roman"/>
          <w:sz w:val="24"/>
        </w:rPr>
        <w:t xml:space="preserve">Pažangioje ir ambicingoje nacionalinėje energetinės nepriklausomybės strategijoje </w:t>
      </w:r>
      <w:r w:rsidR="00CF76FE">
        <w:rPr>
          <w:rFonts w:ascii="Times New Roman" w:hAnsi="Times New Roman"/>
          <w:sz w:val="24"/>
        </w:rPr>
        <w:t>numačiusi</w:t>
      </w:r>
      <w:r w:rsidR="00CF76FE" w:rsidRPr="00CF76FE">
        <w:rPr>
          <w:rFonts w:ascii="Times New Roman" w:hAnsi="Times New Roman"/>
          <w:sz w:val="24"/>
        </w:rPr>
        <w:t xml:space="preserve">, kad </w:t>
      </w:r>
      <w:r w:rsidR="000E65F0">
        <w:rPr>
          <w:rFonts w:ascii="Times New Roman" w:hAnsi="Times New Roman"/>
          <w:sz w:val="24"/>
        </w:rPr>
        <w:t xml:space="preserve">jau </w:t>
      </w:r>
      <w:r w:rsidR="00CF76FE" w:rsidRPr="00CF76FE">
        <w:rPr>
          <w:rFonts w:ascii="Times New Roman" w:hAnsi="Times New Roman"/>
          <w:sz w:val="24"/>
        </w:rPr>
        <w:t>iki 2030 m. 45 proc. suvartojamos elektros ir net 90 proc. šilumos energijos bus gaminama iš atsinaujinančių energijos šaltinių</w:t>
      </w:r>
      <w:r w:rsidR="00CF76FE">
        <w:rPr>
          <w:rFonts w:ascii="Times New Roman" w:hAnsi="Times New Roman"/>
          <w:sz w:val="24"/>
        </w:rPr>
        <w:t xml:space="preserve">. </w:t>
      </w:r>
      <w:r w:rsidR="00D2414E">
        <w:rPr>
          <w:rFonts w:ascii="Times New Roman" w:hAnsi="Times New Roman"/>
          <w:sz w:val="24"/>
        </w:rPr>
        <w:t>Reiškia Lietuva pati turės didinti savo elektros gamybos apimtis ir mažiau importuoti.</w:t>
      </w:r>
      <w:r w:rsidR="000E65F0">
        <w:rPr>
          <w:rFonts w:ascii="Times New Roman" w:hAnsi="Times New Roman"/>
          <w:sz w:val="24"/>
        </w:rPr>
        <w:t xml:space="preserve"> Šalies elektros sistemai reikalingi stabilaus veikimo </w:t>
      </w:r>
      <w:r w:rsidR="00D837B3">
        <w:rPr>
          <w:rFonts w:ascii="Times New Roman" w:hAnsi="Times New Roman"/>
          <w:sz w:val="24"/>
        </w:rPr>
        <w:t xml:space="preserve">ir </w:t>
      </w:r>
      <w:r w:rsidR="000E65F0">
        <w:rPr>
          <w:rFonts w:ascii="Times New Roman" w:hAnsi="Times New Roman"/>
          <w:sz w:val="24"/>
        </w:rPr>
        <w:t xml:space="preserve">kontroliuojami elektros generatoriai. </w:t>
      </w:r>
      <w:r w:rsidR="00CF76FE">
        <w:rPr>
          <w:rFonts w:ascii="Times New Roman" w:hAnsi="Times New Roman"/>
          <w:sz w:val="24"/>
        </w:rPr>
        <w:t>Šiam tikslui pasiekti Lietuvos Respublikos nacionaliniame energetikos ir klimato srities (toliau – NEKS) veiksmų  plane numatytos priemonės ir mechanizmai šiam tikslui pasiekti.</w:t>
      </w:r>
    </w:p>
    <w:p w14:paraId="02203FBB" w14:textId="6965E6D7" w:rsidR="00881151" w:rsidRDefault="00282007" w:rsidP="009D57F7">
      <w:pPr>
        <w:spacing w:after="0"/>
        <w:jc w:val="both"/>
        <w:rPr>
          <w:rFonts w:ascii="Times New Roman" w:hAnsi="Times New Roman"/>
          <w:sz w:val="24"/>
        </w:rPr>
      </w:pPr>
      <w:r>
        <w:rPr>
          <w:rFonts w:ascii="Times New Roman" w:hAnsi="Times New Roman"/>
          <w:sz w:val="24"/>
        </w:rPr>
        <w:tab/>
        <w:t xml:space="preserve">Energetikos ministerija kasmet inicijuoja kvietimus paraiškoms teikti </w:t>
      </w:r>
      <w:r w:rsidR="00D2414E">
        <w:rPr>
          <w:rFonts w:ascii="Times New Roman" w:hAnsi="Times New Roman"/>
          <w:sz w:val="24"/>
        </w:rPr>
        <w:t>pa</w:t>
      </w:r>
      <w:r>
        <w:rPr>
          <w:rFonts w:ascii="Times New Roman" w:hAnsi="Times New Roman"/>
          <w:sz w:val="24"/>
        </w:rPr>
        <w:t xml:space="preserve">gal priemonę </w:t>
      </w:r>
      <w:r w:rsidRPr="00282007">
        <w:rPr>
          <w:rFonts w:ascii="Times New Roman" w:hAnsi="Times New Roman"/>
          <w:sz w:val="24"/>
        </w:rPr>
        <w:t>„Nedidelės galios biokuro kogeneracijos skatinimas“</w:t>
      </w:r>
      <w:r>
        <w:rPr>
          <w:rFonts w:ascii="Times New Roman" w:hAnsi="Times New Roman"/>
          <w:sz w:val="24"/>
        </w:rPr>
        <w:t xml:space="preserve">, kurių tikslas yra skirti finansinę paramą mažoms, </w:t>
      </w:r>
      <w:r w:rsidRPr="00282007">
        <w:rPr>
          <w:rFonts w:ascii="Times New Roman" w:hAnsi="Times New Roman"/>
          <w:sz w:val="24"/>
        </w:rPr>
        <w:t>neviršijant 5 MW elektrinės</w:t>
      </w:r>
      <w:r>
        <w:rPr>
          <w:rFonts w:ascii="Times New Roman" w:hAnsi="Times New Roman"/>
          <w:sz w:val="24"/>
        </w:rPr>
        <w:t xml:space="preserve"> galios, biokogeneracinėms elektrinėms.</w:t>
      </w:r>
      <w:r w:rsidR="00E71083">
        <w:rPr>
          <w:rFonts w:ascii="Times New Roman" w:hAnsi="Times New Roman"/>
          <w:sz w:val="24"/>
        </w:rPr>
        <w:t xml:space="preserve"> Tačiau Lietuvos šilumos tiekėjų asociacija </w:t>
      </w:r>
      <w:r w:rsidR="00DF1FE7">
        <w:rPr>
          <w:rFonts w:ascii="Times New Roman" w:hAnsi="Times New Roman"/>
          <w:sz w:val="24"/>
        </w:rPr>
        <w:t xml:space="preserve">(toliau – Asociacija) </w:t>
      </w:r>
      <w:r w:rsidR="00E71083">
        <w:rPr>
          <w:rFonts w:ascii="Times New Roman" w:hAnsi="Times New Roman"/>
          <w:sz w:val="24"/>
        </w:rPr>
        <w:t xml:space="preserve">pasitarimuose ir savo raštuose ministeriją informavo, kad esamomis sąlygomis ir </w:t>
      </w:r>
      <w:r w:rsidR="000E65F0">
        <w:rPr>
          <w:rFonts w:ascii="Times New Roman" w:hAnsi="Times New Roman"/>
          <w:sz w:val="24"/>
        </w:rPr>
        <w:t xml:space="preserve">skiriamos </w:t>
      </w:r>
      <w:r w:rsidR="00E71083">
        <w:rPr>
          <w:rFonts w:ascii="Times New Roman" w:hAnsi="Times New Roman"/>
          <w:sz w:val="24"/>
        </w:rPr>
        <w:t xml:space="preserve">paramos intensyvumu mažos biokogeneracijos projektai nėra </w:t>
      </w:r>
      <w:r w:rsidR="000E65F0">
        <w:rPr>
          <w:rFonts w:ascii="Times New Roman" w:hAnsi="Times New Roman"/>
          <w:sz w:val="24"/>
        </w:rPr>
        <w:t xml:space="preserve">ekonomiškai </w:t>
      </w:r>
      <w:r w:rsidR="00E71083">
        <w:rPr>
          <w:rFonts w:ascii="Times New Roman" w:hAnsi="Times New Roman"/>
          <w:sz w:val="24"/>
        </w:rPr>
        <w:t>gyvybingi</w:t>
      </w:r>
      <w:r w:rsidR="00D2414E">
        <w:rPr>
          <w:rFonts w:ascii="Times New Roman" w:hAnsi="Times New Roman"/>
          <w:sz w:val="24"/>
        </w:rPr>
        <w:t xml:space="preserve"> ir atsiperkantys</w:t>
      </w:r>
      <w:r w:rsidR="00E71083">
        <w:rPr>
          <w:rFonts w:ascii="Times New Roman" w:hAnsi="Times New Roman"/>
          <w:sz w:val="24"/>
        </w:rPr>
        <w:t xml:space="preserve">. Ši </w:t>
      </w:r>
      <w:r w:rsidR="000E65F0">
        <w:rPr>
          <w:rFonts w:ascii="Times New Roman" w:hAnsi="Times New Roman"/>
          <w:sz w:val="24"/>
        </w:rPr>
        <w:t xml:space="preserve">situacija </w:t>
      </w:r>
      <w:r w:rsidR="00E71083">
        <w:rPr>
          <w:rFonts w:ascii="Times New Roman" w:hAnsi="Times New Roman"/>
          <w:sz w:val="24"/>
        </w:rPr>
        <w:t>galėtų pa</w:t>
      </w:r>
      <w:r w:rsidR="000E65F0">
        <w:rPr>
          <w:rFonts w:ascii="Times New Roman" w:hAnsi="Times New Roman"/>
          <w:sz w:val="24"/>
        </w:rPr>
        <w:t>si</w:t>
      </w:r>
      <w:r w:rsidR="00E71083">
        <w:rPr>
          <w:rFonts w:ascii="Times New Roman" w:hAnsi="Times New Roman"/>
          <w:sz w:val="24"/>
        </w:rPr>
        <w:t>keisti, jei biokogeneracijos įrengini</w:t>
      </w:r>
      <w:r w:rsidR="000E65F0">
        <w:rPr>
          <w:rFonts w:ascii="Times New Roman" w:hAnsi="Times New Roman"/>
          <w:sz w:val="24"/>
        </w:rPr>
        <w:t xml:space="preserve">ų  pajamos </w:t>
      </w:r>
      <w:r w:rsidR="00E71083">
        <w:rPr>
          <w:rFonts w:ascii="Times New Roman" w:hAnsi="Times New Roman"/>
          <w:sz w:val="24"/>
        </w:rPr>
        <w:t xml:space="preserve">neapsiribotų tik šilumos ir elektros </w:t>
      </w:r>
      <w:r w:rsidR="000E65F0">
        <w:rPr>
          <w:rFonts w:ascii="Times New Roman" w:hAnsi="Times New Roman"/>
          <w:sz w:val="24"/>
        </w:rPr>
        <w:t>pardavimu,</w:t>
      </w:r>
      <w:r w:rsidR="00E71083">
        <w:rPr>
          <w:rFonts w:ascii="Times New Roman" w:hAnsi="Times New Roman"/>
          <w:sz w:val="24"/>
        </w:rPr>
        <w:t xml:space="preserve"> bet </w:t>
      </w:r>
      <w:r w:rsidR="00DF1FE7">
        <w:rPr>
          <w:rFonts w:ascii="Times New Roman" w:hAnsi="Times New Roman"/>
          <w:sz w:val="24"/>
        </w:rPr>
        <w:t xml:space="preserve">ir </w:t>
      </w:r>
      <w:r w:rsidR="000E65F0">
        <w:rPr>
          <w:rFonts w:ascii="Times New Roman" w:hAnsi="Times New Roman"/>
          <w:sz w:val="24"/>
        </w:rPr>
        <w:t xml:space="preserve">galėtų dalyvauti </w:t>
      </w:r>
      <w:r w:rsidR="00DF1FE7">
        <w:rPr>
          <w:rFonts w:ascii="Times New Roman" w:hAnsi="Times New Roman"/>
          <w:sz w:val="24"/>
        </w:rPr>
        <w:t>elektros energijos sisteminių paslaugų rinkoje</w:t>
      </w:r>
      <w:r w:rsidR="000E65F0">
        <w:rPr>
          <w:rFonts w:ascii="Times New Roman" w:hAnsi="Times New Roman"/>
          <w:sz w:val="24"/>
        </w:rPr>
        <w:t xml:space="preserve">, uždirbant papildomų pajamų. Tačiau šiuo metu nėra jokio aiškumo apie tokių paslaugų </w:t>
      </w:r>
      <w:r w:rsidR="00991F61">
        <w:rPr>
          <w:rFonts w:ascii="Times New Roman" w:hAnsi="Times New Roman"/>
          <w:sz w:val="24"/>
        </w:rPr>
        <w:t xml:space="preserve">poreikį, kainas ir galimybes jas tiekti mažosioms biokurą naudojančioms kogeneracinėms </w:t>
      </w:r>
      <w:r w:rsidR="00991F61" w:rsidRPr="00926858">
        <w:rPr>
          <w:rFonts w:ascii="Times New Roman" w:hAnsi="Times New Roman"/>
          <w:sz w:val="24"/>
        </w:rPr>
        <w:t>elekt</w:t>
      </w:r>
      <w:r w:rsidR="00350FC9" w:rsidRPr="00926858">
        <w:rPr>
          <w:rFonts w:ascii="Times New Roman" w:hAnsi="Times New Roman"/>
          <w:sz w:val="24"/>
        </w:rPr>
        <w:t>r</w:t>
      </w:r>
      <w:r w:rsidR="00991F61" w:rsidRPr="00926858">
        <w:rPr>
          <w:rFonts w:ascii="Times New Roman" w:hAnsi="Times New Roman"/>
          <w:sz w:val="24"/>
        </w:rPr>
        <w:t>inėms.</w:t>
      </w:r>
      <w:r w:rsidR="000E65F0">
        <w:rPr>
          <w:rFonts w:ascii="Times New Roman" w:hAnsi="Times New Roman"/>
          <w:sz w:val="24"/>
        </w:rPr>
        <w:t xml:space="preserve"> </w:t>
      </w:r>
      <w:r w:rsidR="00DF1FE7">
        <w:rPr>
          <w:rFonts w:ascii="Times New Roman" w:hAnsi="Times New Roman"/>
          <w:sz w:val="24"/>
        </w:rPr>
        <w:t xml:space="preserve"> </w:t>
      </w:r>
    </w:p>
    <w:p w14:paraId="622F8C7D" w14:textId="17B87EEF" w:rsidR="00DF1FE7" w:rsidRDefault="00DF1FE7" w:rsidP="009D57F7">
      <w:pPr>
        <w:spacing w:after="0"/>
        <w:jc w:val="both"/>
        <w:rPr>
          <w:rFonts w:ascii="Times New Roman" w:hAnsi="Times New Roman"/>
          <w:sz w:val="24"/>
        </w:rPr>
      </w:pPr>
      <w:r>
        <w:rPr>
          <w:rFonts w:ascii="Times New Roman" w:hAnsi="Times New Roman"/>
          <w:sz w:val="24"/>
        </w:rPr>
        <w:tab/>
        <w:t xml:space="preserve">Šilumos tiekėjai siekdami išsigryninti ir suprasti teisinį reglamentavimą, kuris </w:t>
      </w:r>
      <w:r w:rsidR="00D2414E">
        <w:rPr>
          <w:rFonts w:ascii="Times New Roman" w:hAnsi="Times New Roman"/>
          <w:sz w:val="24"/>
        </w:rPr>
        <w:t>sudėtingai</w:t>
      </w:r>
      <w:r>
        <w:rPr>
          <w:rFonts w:ascii="Times New Roman" w:hAnsi="Times New Roman"/>
          <w:sz w:val="24"/>
        </w:rPr>
        <w:t xml:space="preserve"> pateiktas įstatymuose ir įvairiuose poįstatyminiuose teisės aktuose, šiuo raštu prašo Energetikos ministerijos pateikti koncentruotą informaciją apie šilumos tiekėjų elektros energijos sisteminių paslaugų teikimo galimybes bent jau iki 2030 metų, įskaitant, bet neapsiribojant, šiomis Asociacijai žinomomis sisteminėmis paslaugomis:</w:t>
      </w:r>
    </w:p>
    <w:p w14:paraId="7E3C30AA" w14:textId="0FEEE8CF" w:rsidR="00DF1FE7" w:rsidRDefault="00773F09" w:rsidP="009D57F7">
      <w:pPr>
        <w:pStyle w:val="ListParagraph"/>
        <w:numPr>
          <w:ilvl w:val="0"/>
          <w:numId w:val="3"/>
        </w:numPr>
        <w:spacing w:after="0"/>
        <w:jc w:val="both"/>
        <w:rPr>
          <w:rFonts w:ascii="Times New Roman" w:hAnsi="Times New Roman"/>
          <w:sz w:val="24"/>
        </w:rPr>
      </w:pPr>
      <w:r>
        <w:rPr>
          <w:rFonts w:ascii="Times New Roman" w:hAnsi="Times New Roman"/>
          <w:sz w:val="24"/>
        </w:rPr>
        <w:t>Vadovaujantis A</w:t>
      </w:r>
      <w:r w:rsidRPr="00773F09">
        <w:rPr>
          <w:rFonts w:ascii="Times New Roman" w:hAnsi="Times New Roman"/>
          <w:sz w:val="24"/>
        </w:rPr>
        <w:t>tsinaujinančių išteklių energetikos įstatym</w:t>
      </w:r>
      <w:r>
        <w:rPr>
          <w:rFonts w:ascii="Times New Roman" w:hAnsi="Times New Roman"/>
          <w:sz w:val="24"/>
        </w:rPr>
        <w:t>o 3 str. 2 dalies 1 papunkčiu, a</w:t>
      </w:r>
      <w:r w:rsidRPr="00773F09">
        <w:rPr>
          <w:rFonts w:ascii="Times New Roman" w:hAnsi="Times New Roman"/>
          <w:sz w:val="24"/>
        </w:rPr>
        <w:t>tsinaujinančių energijos išteklių naudojimas skatinamas taikant nustatytą paramos schemą</w:t>
      </w:r>
      <w:r>
        <w:rPr>
          <w:rFonts w:ascii="Times New Roman" w:hAnsi="Times New Roman"/>
          <w:sz w:val="24"/>
        </w:rPr>
        <w:t xml:space="preserve">. Viena iš skatinimo priemonių yra </w:t>
      </w:r>
      <w:r w:rsidRPr="00773F09">
        <w:rPr>
          <w:rFonts w:ascii="Times New Roman" w:hAnsi="Times New Roman"/>
          <w:i/>
          <w:iCs/>
          <w:sz w:val="24"/>
        </w:rPr>
        <w:t>kainos priedas</w:t>
      </w:r>
      <w:r>
        <w:rPr>
          <w:rFonts w:ascii="Times New Roman" w:hAnsi="Times New Roman"/>
          <w:sz w:val="24"/>
        </w:rPr>
        <w:t xml:space="preserve">. LR Vyriausybė priėmė </w:t>
      </w:r>
      <w:r w:rsidRPr="00773F09">
        <w:rPr>
          <w:rFonts w:ascii="Times New Roman" w:hAnsi="Times New Roman"/>
          <w:sz w:val="24"/>
        </w:rPr>
        <w:t xml:space="preserve">2019 m. spalio 9 d. </w:t>
      </w:r>
      <w:r>
        <w:rPr>
          <w:rFonts w:ascii="Times New Roman" w:hAnsi="Times New Roman"/>
          <w:sz w:val="24"/>
        </w:rPr>
        <w:t xml:space="preserve">nutarimą </w:t>
      </w:r>
      <w:r w:rsidRPr="00773F09">
        <w:rPr>
          <w:rFonts w:ascii="Times New Roman" w:hAnsi="Times New Roman"/>
          <w:sz w:val="24"/>
        </w:rPr>
        <w:t>Nr. 1044</w:t>
      </w:r>
      <w:r>
        <w:rPr>
          <w:rFonts w:ascii="Times New Roman" w:hAnsi="Times New Roman"/>
          <w:sz w:val="24"/>
        </w:rPr>
        <w:t xml:space="preserve"> </w:t>
      </w:r>
      <w:r w:rsidRPr="00773F09">
        <w:rPr>
          <w:rFonts w:ascii="Times New Roman" w:hAnsi="Times New Roman"/>
          <w:i/>
          <w:iCs/>
          <w:sz w:val="24"/>
        </w:rPr>
        <w:t>Dėl elektros energijos gamybos iš atsinaujinančių išteklių skatinimo kvotų paskirstymo 2020–2022 metams tvarkaraščio patvirtinimo</w:t>
      </w:r>
      <w:r>
        <w:rPr>
          <w:rFonts w:ascii="Times New Roman" w:hAnsi="Times New Roman"/>
          <w:sz w:val="24"/>
        </w:rPr>
        <w:t>, kuriame paskutinis s</w:t>
      </w:r>
      <w:r w:rsidRPr="00773F09">
        <w:rPr>
          <w:rFonts w:ascii="Times New Roman" w:hAnsi="Times New Roman"/>
          <w:sz w:val="24"/>
        </w:rPr>
        <w:t>katinimo kvotų paskirstymo aukcion</w:t>
      </w:r>
      <w:r>
        <w:rPr>
          <w:rFonts w:ascii="Times New Roman" w:hAnsi="Times New Roman"/>
          <w:sz w:val="24"/>
        </w:rPr>
        <w:t xml:space="preserve">as numatytas </w:t>
      </w:r>
      <w:r w:rsidRPr="00773F09">
        <w:rPr>
          <w:rFonts w:ascii="Times New Roman" w:hAnsi="Times New Roman"/>
          <w:sz w:val="24"/>
        </w:rPr>
        <w:t>2022 m. balandžio 19 d.</w:t>
      </w:r>
      <w:r>
        <w:rPr>
          <w:rFonts w:ascii="Times New Roman" w:hAnsi="Times New Roman"/>
          <w:sz w:val="24"/>
        </w:rPr>
        <w:t xml:space="preserve"> </w:t>
      </w:r>
      <w:r w:rsidR="00D2414E">
        <w:rPr>
          <w:rFonts w:ascii="Times New Roman" w:hAnsi="Times New Roman"/>
          <w:sz w:val="24"/>
        </w:rPr>
        <w:t>Atsižvelgus į tai, prašome paaiškinti:</w:t>
      </w:r>
    </w:p>
    <w:p w14:paraId="42A3648A" w14:textId="77777777" w:rsidR="00350FC9" w:rsidRPr="00926858" w:rsidRDefault="00773F09" w:rsidP="009D57F7">
      <w:pPr>
        <w:pStyle w:val="ListParagraph"/>
        <w:spacing w:after="0"/>
        <w:jc w:val="both"/>
        <w:rPr>
          <w:rFonts w:ascii="Times New Roman" w:hAnsi="Times New Roman"/>
          <w:sz w:val="24"/>
        </w:rPr>
      </w:pPr>
      <w:r>
        <w:rPr>
          <w:rFonts w:ascii="Times New Roman" w:hAnsi="Times New Roman"/>
          <w:sz w:val="24"/>
        </w:rPr>
        <w:t xml:space="preserve">- Ar </w:t>
      </w:r>
      <w:r w:rsidR="00991F61" w:rsidRPr="00926858">
        <w:rPr>
          <w:rFonts w:ascii="Times New Roman" w:hAnsi="Times New Roman"/>
          <w:sz w:val="24"/>
        </w:rPr>
        <w:t xml:space="preserve">biokogeneracinės elektrinės, veikiančios CŠT sistemose, </w:t>
      </w:r>
      <w:r w:rsidRPr="00926858">
        <w:rPr>
          <w:rFonts w:ascii="Times New Roman" w:hAnsi="Times New Roman"/>
          <w:sz w:val="24"/>
        </w:rPr>
        <w:t xml:space="preserve"> gali dalyvauti aukcione</w:t>
      </w:r>
      <w:r w:rsidR="00991F61" w:rsidRPr="00926858">
        <w:rPr>
          <w:rFonts w:ascii="Times New Roman" w:hAnsi="Times New Roman"/>
          <w:sz w:val="24"/>
        </w:rPr>
        <w:t>, jeigu (ne)gavo investicinę paramą</w:t>
      </w:r>
      <w:r w:rsidRPr="00926858">
        <w:rPr>
          <w:rFonts w:ascii="Times New Roman" w:hAnsi="Times New Roman"/>
          <w:sz w:val="24"/>
        </w:rPr>
        <w:t>?</w:t>
      </w:r>
    </w:p>
    <w:p w14:paraId="671156A7" w14:textId="3E823EED" w:rsidR="00773F09" w:rsidRPr="00926858" w:rsidRDefault="00350FC9" w:rsidP="009D57F7">
      <w:pPr>
        <w:pStyle w:val="ListParagraph"/>
        <w:spacing w:after="0"/>
        <w:jc w:val="both"/>
        <w:rPr>
          <w:rFonts w:ascii="Times New Roman" w:hAnsi="Times New Roman"/>
          <w:sz w:val="24"/>
        </w:rPr>
      </w:pPr>
      <w:r w:rsidRPr="00926858">
        <w:rPr>
          <w:rFonts w:ascii="Times New Roman" w:hAnsi="Times New Roman"/>
          <w:sz w:val="24"/>
        </w:rPr>
        <w:t xml:space="preserve">- Ar galėtų aukcione dalyvauti biokogeneracinės elektrinės, kurių gaminamai elektrai jau nebetaikomas skatinamasis elektros supirkimo tarifas? </w:t>
      </w:r>
      <w:r w:rsidR="00991F61" w:rsidRPr="00926858">
        <w:rPr>
          <w:rFonts w:ascii="Times New Roman" w:hAnsi="Times New Roman"/>
          <w:sz w:val="24"/>
        </w:rPr>
        <w:t xml:space="preserve"> </w:t>
      </w:r>
    </w:p>
    <w:p w14:paraId="3F20D344" w14:textId="4260ED52" w:rsidR="00773F09" w:rsidRPr="00926858" w:rsidRDefault="00773F09" w:rsidP="009D57F7">
      <w:pPr>
        <w:pStyle w:val="ListParagraph"/>
        <w:spacing w:after="0"/>
        <w:jc w:val="both"/>
        <w:rPr>
          <w:rFonts w:ascii="Times New Roman" w:hAnsi="Times New Roman"/>
          <w:sz w:val="24"/>
        </w:rPr>
      </w:pPr>
      <w:r w:rsidRPr="00926858">
        <w:rPr>
          <w:rFonts w:ascii="Times New Roman" w:hAnsi="Times New Roman"/>
          <w:sz w:val="24"/>
        </w:rPr>
        <w:t xml:space="preserve">- Ar ateityje bus rengiami </w:t>
      </w:r>
      <w:r w:rsidR="00991F61" w:rsidRPr="00926858">
        <w:rPr>
          <w:rFonts w:ascii="Times New Roman" w:hAnsi="Times New Roman"/>
          <w:sz w:val="24"/>
        </w:rPr>
        <w:t xml:space="preserve">analogiški </w:t>
      </w:r>
      <w:r w:rsidRPr="00926858">
        <w:rPr>
          <w:rFonts w:ascii="Times New Roman" w:hAnsi="Times New Roman"/>
          <w:sz w:val="24"/>
        </w:rPr>
        <w:t>aukcionai?</w:t>
      </w:r>
    </w:p>
    <w:p w14:paraId="69390621" w14:textId="2CBCF2FC" w:rsidR="00B1609A" w:rsidRPr="00926858" w:rsidRDefault="00C42685" w:rsidP="0013641A">
      <w:pPr>
        <w:pStyle w:val="ListParagraph"/>
        <w:spacing w:after="0"/>
        <w:jc w:val="both"/>
        <w:rPr>
          <w:rFonts w:ascii="Calibri" w:eastAsia="Calibri" w:hAnsi="Calibri" w:cs="Calibri"/>
          <w:color w:val="FF0000"/>
        </w:rPr>
      </w:pPr>
      <w:r w:rsidRPr="00926858">
        <w:rPr>
          <w:rFonts w:ascii="Times New Roman" w:hAnsi="Times New Roman"/>
          <w:sz w:val="24"/>
        </w:rPr>
        <w:lastRenderedPageBreak/>
        <w:t>- Elektros tinklų naudojimo taisyklės</w:t>
      </w:r>
      <w:r w:rsidR="00B1609A" w:rsidRPr="00926858">
        <w:rPr>
          <w:rFonts w:ascii="Times New Roman" w:hAnsi="Times New Roman"/>
          <w:sz w:val="24"/>
        </w:rPr>
        <w:t xml:space="preserve">e, patvirtintose </w:t>
      </w:r>
      <w:r w:rsidR="00350FC9" w:rsidRPr="00926858">
        <w:rPr>
          <w:rFonts w:ascii="Times New Roman" w:hAnsi="Times New Roman"/>
          <w:sz w:val="24"/>
        </w:rPr>
        <w:t>E</w:t>
      </w:r>
      <w:r w:rsidR="00B1609A" w:rsidRPr="00926858">
        <w:rPr>
          <w:rFonts w:ascii="Times New Roman" w:hAnsi="Times New Roman"/>
          <w:sz w:val="24"/>
        </w:rPr>
        <w:t xml:space="preserve">nergetikos ministro 2012 m. birželio 18 d. </w:t>
      </w:r>
      <w:r w:rsidR="00B1609A" w:rsidRPr="00926858">
        <w:rPr>
          <w:rFonts w:ascii="Times New Roman" w:hAnsi="Times New Roman" w:cs="Times New Roman"/>
          <w:sz w:val="24"/>
          <w:szCs w:val="24"/>
        </w:rPr>
        <w:t>įsakymu Nr. 1-116</w:t>
      </w:r>
      <w:r w:rsidR="00DE6B4E" w:rsidRPr="00926858">
        <w:rPr>
          <w:rFonts w:ascii="Times New Roman" w:hAnsi="Times New Roman" w:cs="Times New Roman"/>
          <w:sz w:val="24"/>
          <w:szCs w:val="24"/>
        </w:rPr>
        <w:t xml:space="preserve"> (toliau – Taisyklės)</w:t>
      </w:r>
      <w:r w:rsidR="00B1609A" w:rsidRPr="00926858">
        <w:rPr>
          <w:rFonts w:ascii="Times New Roman" w:hAnsi="Times New Roman" w:cs="Times New Roman"/>
          <w:sz w:val="24"/>
          <w:szCs w:val="24"/>
        </w:rPr>
        <w:t xml:space="preserve">, nurodyta, kad </w:t>
      </w:r>
      <w:r w:rsidR="00B1609A" w:rsidRPr="00926858">
        <w:rPr>
          <w:rFonts w:ascii="Times New Roman" w:eastAsia="Calibri" w:hAnsi="Times New Roman" w:cs="Times New Roman"/>
          <w:sz w:val="24"/>
          <w:szCs w:val="24"/>
        </w:rPr>
        <w:t>aktyviosios galios rezervo paslaugą privalo teikti gamintojai (t. y. papildomų paslaugų teikėjai), kurie atitinka 2-ame priede nurodytus techninius ir technologinius reikalavimus. Reikalavimai pateikti lentelėje žemiau.</w:t>
      </w:r>
    </w:p>
    <w:p w14:paraId="4BAD090A" w14:textId="77777777" w:rsidR="00B1609A" w:rsidRPr="00926858" w:rsidRDefault="00B1609A" w:rsidP="009D57F7">
      <w:pPr>
        <w:spacing w:after="0"/>
        <w:rPr>
          <w:rFonts w:ascii="Calibri" w:eastAsia="Calibri" w:hAnsi="Calibri" w:cs="Calibri"/>
          <w:color w:val="FF0000"/>
        </w:rPr>
      </w:pPr>
    </w:p>
    <w:tbl>
      <w:tblPr>
        <w:tblW w:w="9082" w:type="dxa"/>
        <w:tblCellMar>
          <w:left w:w="0" w:type="dxa"/>
          <w:right w:w="0" w:type="dxa"/>
        </w:tblCellMar>
        <w:tblLook w:val="04A0" w:firstRow="1" w:lastRow="0" w:firstColumn="1" w:lastColumn="0" w:noHBand="0" w:noVBand="1"/>
      </w:tblPr>
      <w:tblGrid>
        <w:gridCol w:w="1124"/>
        <w:gridCol w:w="2741"/>
        <w:gridCol w:w="5217"/>
      </w:tblGrid>
      <w:tr w:rsidR="00B1609A" w:rsidRPr="00926858" w14:paraId="471B58C2" w14:textId="77777777" w:rsidTr="00B1609A">
        <w:trPr>
          <w:trHeight w:val="62"/>
          <w:tblHeader/>
        </w:trPr>
        <w:tc>
          <w:tcPr>
            <w:tcW w:w="1124" w:type="dxa"/>
            <w:tcBorders>
              <w:top w:val="single" w:sz="8" w:space="0" w:color="000000"/>
              <w:left w:val="single" w:sz="8" w:space="0" w:color="000000"/>
              <w:bottom w:val="single" w:sz="8" w:space="0" w:color="000000"/>
              <w:right w:val="single" w:sz="8" w:space="0" w:color="000000"/>
            </w:tcBorders>
            <w:vAlign w:val="center"/>
            <w:hideMark/>
          </w:tcPr>
          <w:p w14:paraId="4840916F" w14:textId="77777777" w:rsidR="00B1609A" w:rsidRPr="00926858" w:rsidRDefault="00B1609A" w:rsidP="00B1609A">
            <w:pPr>
              <w:spacing w:after="0" w:line="240" w:lineRule="auto"/>
              <w:jc w:val="center"/>
              <w:rPr>
                <w:rFonts w:ascii="Times New Roman" w:eastAsia="Calibri" w:hAnsi="Times New Roman" w:cs="Times New Roman"/>
                <w:sz w:val="24"/>
                <w:szCs w:val="24"/>
                <w:lang w:eastAsia="lt-LT"/>
              </w:rPr>
            </w:pPr>
            <w:r w:rsidRPr="00926858">
              <w:rPr>
                <w:rFonts w:ascii="Times New Roman" w:eastAsia="Calibri" w:hAnsi="Times New Roman" w:cs="Times New Roman"/>
                <w:b/>
                <w:bCs/>
                <w:color w:val="000000"/>
                <w:sz w:val="24"/>
                <w:szCs w:val="24"/>
                <w:lang w:eastAsia="lt-LT"/>
              </w:rPr>
              <w:t>Eil. Nr.</w:t>
            </w:r>
          </w:p>
        </w:tc>
        <w:tc>
          <w:tcPr>
            <w:tcW w:w="2741" w:type="dxa"/>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hideMark/>
          </w:tcPr>
          <w:p w14:paraId="70183021" w14:textId="77777777" w:rsidR="00B1609A" w:rsidRPr="00926858" w:rsidRDefault="00B1609A" w:rsidP="00B1609A">
            <w:pPr>
              <w:spacing w:after="0" w:line="240" w:lineRule="auto"/>
              <w:jc w:val="center"/>
              <w:rPr>
                <w:rFonts w:ascii="Times New Roman" w:eastAsia="Calibri" w:hAnsi="Times New Roman" w:cs="Times New Roman"/>
                <w:sz w:val="24"/>
                <w:szCs w:val="24"/>
                <w:lang w:eastAsia="lt-LT"/>
              </w:rPr>
            </w:pPr>
            <w:r w:rsidRPr="00926858">
              <w:rPr>
                <w:rFonts w:ascii="Times New Roman" w:eastAsia="Calibri" w:hAnsi="Times New Roman" w:cs="Times New Roman"/>
                <w:b/>
                <w:bCs/>
                <w:color w:val="000000"/>
                <w:sz w:val="24"/>
                <w:szCs w:val="24"/>
                <w:lang w:eastAsia="lt-LT"/>
              </w:rPr>
              <w:t>Papildomos paslaugos</w:t>
            </w:r>
          </w:p>
        </w:tc>
        <w:tc>
          <w:tcPr>
            <w:tcW w:w="5217" w:type="dxa"/>
            <w:tcBorders>
              <w:top w:val="single" w:sz="8" w:space="0" w:color="auto"/>
              <w:left w:val="nil"/>
              <w:bottom w:val="single" w:sz="8" w:space="0" w:color="auto"/>
              <w:right w:val="single" w:sz="8" w:space="0" w:color="auto"/>
            </w:tcBorders>
            <w:tcMar>
              <w:top w:w="40" w:type="dxa"/>
              <w:left w:w="57" w:type="dxa"/>
              <w:bottom w:w="40" w:type="dxa"/>
              <w:right w:w="57" w:type="dxa"/>
            </w:tcMar>
            <w:vAlign w:val="center"/>
            <w:hideMark/>
          </w:tcPr>
          <w:p w14:paraId="6AFB55E6" w14:textId="77777777" w:rsidR="00B1609A" w:rsidRPr="00926858" w:rsidRDefault="00B1609A" w:rsidP="00B1609A">
            <w:pPr>
              <w:spacing w:after="0" w:line="240" w:lineRule="auto"/>
              <w:jc w:val="center"/>
              <w:rPr>
                <w:rFonts w:ascii="Times New Roman" w:eastAsia="Calibri" w:hAnsi="Times New Roman" w:cs="Times New Roman"/>
                <w:sz w:val="24"/>
                <w:szCs w:val="24"/>
                <w:lang w:eastAsia="lt-LT"/>
              </w:rPr>
            </w:pPr>
            <w:r w:rsidRPr="00926858">
              <w:rPr>
                <w:rFonts w:ascii="Times New Roman" w:eastAsia="Calibri" w:hAnsi="Times New Roman" w:cs="Times New Roman"/>
                <w:b/>
                <w:bCs/>
                <w:color w:val="000000"/>
                <w:sz w:val="24"/>
                <w:szCs w:val="24"/>
                <w:lang w:eastAsia="lt-LT"/>
              </w:rPr>
              <w:t>Teikėjai, kurie privalo teikti nurodytas papildomas paslaugas</w:t>
            </w:r>
          </w:p>
        </w:tc>
      </w:tr>
      <w:tr w:rsidR="00B1609A" w:rsidRPr="00926858" w14:paraId="5AEFE306" w14:textId="77777777" w:rsidTr="00B1609A">
        <w:trPr>
          <w:trHeight w:val="62"/>
          <w:tblHeader/>
        </w:trPr>
        <w:tc>
          <w:tcPr>
            <w:tcW w:w="1124" w:type="dxa"/>
            <w:vMerge w:val="restart"/>
            <w:tcBorders>
              <w:top w:val="nil"/>
              <w:left w:val="single" w:sz="8" w:space="0" w:color="000000"/>
              <w:bottom w:val="single" w:sz="8" w:space="0" w:color="000000"/>
              <w:right w:val="single" w:sz="8" w:space="0" w:color="000000"/>
            </w:tcBorders>
            <w:vAlign w:val="center"/>
            <w:hideMark/>
          </w:tcPr>
          <w:p w14:paraId="7F28DC38" w14:textId="77777777" w:rsidR="00B1609A" w:rsidRPr="00926858" w:rsidRDefault="00B1609A" w:rsidP="00B1609A">
            <w:pPr>
              <w:spacing w:after="0" w:line="240" w:lineRule="auto"/>
              <w:jc w:val="center"/>
              <w:rPr>
                <w:rFonts w:ascii="Times New Roman" w:eastAsia="Calibri" w:hAnsi="Times New Roman" w:cs="Times New Roman"/>
                <w:b/>
                <w:bCs/>
                <w:color w:val="000000"/>
                <w:sz w:val="24"/>
                <w:szCs w:val="24"/>
                <w:lang w:eastAsia="lt-LT"/>
              </w:rPr>
            </w:pPr>
            <w:r w:rsidRPr="00926858">
              <w:rPr>
                <w:rFonts w:ascii="Times New Roman" w:eastAsia="Calibri" w:hAnsi="Times New Roman" w:cs="Times New Roman"/>
                <w:b/>
                <w:bCs/>
                <w:color w:val="000000"/>
                <w:sz w:val="24"/>
                <w:szCs w:val="24"/>
                <w:lang w:eastAsia="lt-LT"/>
              </w:rPr>
              <w:t>2.</w:t>
            </w:r>
          </w:p>
        </w:tc>
        <w:tc>
          <w:tcPr>
            <w:tcW w:w="2741" w:type="dxa"/>
            <w:vMerge w:val="restart"/>
            <w:tcBorders>
              <w:top w:val="nil"/>
              <w:left w:val="nil"/>
              <w:bottom w:val="single" w:sz="8" w:space="0" w:color="000000"/>
              <w:right w:val="single" w:sz="8" w:space="0" w:color="000000"/>
            </w:tcBorders>
            <w:tcMar>
              <w:top w:w="40" w:type="dxa"/>
              <w:left w:w="57" w:type="dxa"/>
              <w:bottom w:w="40" w:type="dxa"/>
              <w:right w:w="57" w:type="dxa"/>
            </w:tcMar>
            <w:vAlign w:val="center"/>
            <w:hideMark/>
          </w:tcPr>
          <w:p w14:paraId="5D955710" w14:textId="77777777" w:rsidR="00B1609A" w:rsidRPr="00926858" w:rsidRDefault="00B1609A" w:rsidP="00B1609A">
            <w:pPr>
              <w:spacing w:after="0" w:line="240" w:lineRule="auto"/>
              <w:jc w:val="center"/>
              <w:rPr>
                <w:rFonts w:ascii="Times New Roman" w:eastAsia="Calibri" w:hAnsi="Times New Roman" w:cs="Times New Roman"/>
                <w:b/>
                <w:bCs/>
                <w:color w:val="000000"/>
                <w:sz w:val="24"/>
                <w:szCs w:val="24"/>
                <w:lang w:eastAsia="lt-LT"/>
              </w:rPr>
            </w:pPr>
            <w:r w:rsidRPr="00926858">
              <w:rPr>
                <w:rFonts w:ascii="Times New Roman" w:eastAsia="Calibri" w:hAnsi="Times New Roman" w:cs="Times New Roman"/>
                <w:b/>
                <w:bCs/>
                <w:color w:val="000000"/>
                <w:sz w:val="24"/>
                <w:szCs w:val="24"/>
                <w:lang w:eastAsia="lt-LT"/>
              </w:rPr>
              <w:t>Antrinio aktyviosios galios rezervo ir automatinio apkrovos valdymo teikimas</w:t>
            </w:r>
          </w:p>
        </w:tc>
        <w:tc>
          <w:tcPr>
            <w:tcW w:w="5217" w:type="dxa"/>
            <w:tcBorders>
              <w:top w:val="nil"/>
              <w:left w:val="nil"/>
              <w:bottom w:val="single" w:sz="8" w:space="0" w:color="auto"/>
              <w:right w:val="single" w:sz="8" w:space="0" w:color="auto"/>
            </w:tcBorders>
            <w:tcMar>
              <w:top w:w="40" w:type="dxa"/>
              <w:left w:w="57" w:type="dxa"/>
              <w:bottom w:w="40" w:type="dxa"/>
              <w:right w:w="57" w:type="dxa"/>
            </w:tcMar>
            <w:vAlign w:val="center"/>
            <w:hideMark/>
          </w:tcPr>
          <w:p w14:paraId="4539F16E" w14:textId="77777777" w:rsidR="00B1609A" w:rsidRPr="00926858" w:rsidRDefault="00B1609A" w:rsidP="00B1609A">
            <w:pPr>
              <w:spacing w:after="0" w:line="240" w:lineRule="auto"/>
              <w:jc w:val="center"/>
              <w:rPr>
                <w:rFonts w:ascii="Times New Roman" w:eastAsia="Calibri" w:hAnsi="Times New Roman" w:cs="Times New Roman"/>
                <w:color w:val="000000"/>
                <w:sz w:val="24"/>
                <w:szCs w:val="24"/>
                <w:lang w:eastAsia="lt-LT"/>
              </w:rPr>
            </w:pPr>
            <w:r w:rsidRPr="00926858">
              <w:rPr>
                <w:rFonts w:ascii="Times New Roman" w:eastAsia="Calibri" w:hAnsi="Times New Roman" w:cs="Times New Roman"/>
                <w:color w:val="000000"/>
                <w:sz w:val="24"/>
                <w:szCs w:val="24"/>
                <w:lang w:eastAsia="lt-LT"/>
              </w:rPr>
              <w:t>Elektros energijos gamintojai, kurių vienetinė generatoriaus galia 50 MW ir daugiau.</w:t>
            </w:r>
          </w:p>
        </w:tc>
      </w:tr>
      <w:tr w:rsidR="00B1609A" w:rsidRPr="00926858" w14:paraId="6E6F792A" w14:textId="77777777" w:rsidTr="00B1609A">
        <w:trPr>
          <w:trHeight w:val="62"/>
          <w:tblHeader/>
        </w:trPr>
        <w:tc>
          <w:tcPr>
            <w:tcW w:w="0" w:type="auto"/>
            <w:vMerge/>
            <w:tcBorders>
              <w:top w:val="nil"/>
              <w:left w:val="single" w:sz="8" w:space="0" w:color="000000"/>
              <w:bottom w:val="single" w:sz="8" w:space="0" w:color="000000"/>
              <w:right w:val="single" w:sz="8" w:space="0" w:color="000000"/>
            </w:tcBorders>
            <w:vAlign w:val="center"/>
            <w:hideMark/>
          </w:tcPr>
          <w:p w14:paraId="3FE543C2" w14:textId="77777777" w:rsidR="00B1609A" w:rsidRPr="00926858" w:rsidRDefault="00B1609A" w:rsidP="00B1609A">
            <w:pPr>
              <w:spacing w:after="0" w:line="240" w:lineRule="auto"/>
              <w:rPr>
                <w:rFonts w:ascii="Times New Roman" w:eastAsia="Calibri" w:hAnsi="Times New Roman" w:cs="Times New Roman"/>
                <w:b/>
                <w:bCs/>
                <w:color w:val="000000"/>
                <w:sz w:val="24"/>
                <w:szCs w:val="24"/>
                <w:lang w:eastAsia="lt-LT"/>
              </w:rPr>
            </w:pPr>
          </w:p>
        </w:tc>
        <w:tc>
          <w:tcPr>
            <w:tcW w:w="0" w:type="auto"/>
            <w:vMerge/>
            <w:tcBorders>
              <w:top w:val="nil"/>
              <w:left w:val="nil"/>
              <w:bottom w:val="single" w:sz="8" w:space="0" w:color="000000"/>
              <w:right w:val="single" w:sz="8" w:space="0" w:color="000000"/>
            </w:tcBorders>
            <w:vAlign w:val="center"/>
            <w:hideMark/>
          </w:tcPr>
          <w:p w14:paraId="59653680" w14:textId="77777777" w:rsidR="00B1609A" w:rsidRPr="00926858" w:rsidRDefault="00B1609A" w:rsidP="00B1609A">
            <w:pPr>
              <w:spacing w:after="0" w:line="240" w:lineRule="auto"/>
              <w:rPr>
                <w:rFonts w:ascii="Times New Roman" w:eastAsia="Calibri" w:hAnsi="Times New Roman" w:cs="Times New Roman"/>
                <w:b/>
                <w:bCs/>
                <w:color w:val="000000"/>
                <w:sz w:val="24"/>
                <w:szCs w:val="24"/>
                <w:lang w:eastAsia="lt-LT"/>
              </w:rPr>
            </w:pPr>
          </w:p>
        </w:tc>
        <w:tc>
          <w:tcPr>
            <w:tcW w:w="5217" w:type="dxa"/>
            <w:tcBorders>
              <w:top w:val="nil"/>
              <w:left w:val="nil"/>
              <w:bottom w:val="single" w:sz="8" w:space="0" w:color="auto"/>
              <w:right w:val="single" w:sz="8" w:space="0" w:color="auto"/>
            </w:tcBorders>
            <w:tcMar>
              <w:top w:w="40" w:type="dxa"/>
              <w:left w:w="57" w:type="dxa"/>
              <w:bottom w:w="40" w:type="dxa"/>
              <w:right w:w="57" w:type="dxa"/>
            </w:tcMar>
            <w:vAlign w:val="center"/>
            <w:hideMark/>
          </w:tcPr>
          <w:p w14:paraId="1AE8C237" w14:textId="77777777" w:rsidR="00B1609A" w:rsidRPr="00926858" w:rsidRDefault="00B1609A" w:rsidP="00B1609A">
            <w:pPr>
              <w:spacing w:after="0" w:line="240" w:lineRule="auto"/>
              <w:jc w:val="center"/>
              <w:rPr>
                <w:rFonts w:ascii="Times New Roman" w:eastAsia="Calibri" w:hAnsi="Times New Roman" w:cs="Times New Roman"/>
                <w:color w:val="000000"/>
                <w:sz w:val="24"/>
                <w:szCs w:val="24"/>
                <w:lang w:eastAsia="lt-LT"/>
              </w:rPr>
            </w:pPr>
            <w:r w:rsidRPr="00926858">
              <w:rPr>
                <w:rFonts w:ascii="Times New Roman" w:eastAsia="Calibri" w:hAnsi="Times New Roman" w:cs="Times New Roman"/>
                <w:color w:val="000000"/>
                <w:sz w:val="24"/>
                <w:szCs w:val="24"/>
                <w:lang w:eastAsia="lt-LT"/>
              </w:rPr>
              <w:t>Elektros energijos gamintojai, kurių agregatai elektros energijos gamybai naudoja vėjo energiją ir vėjo parko suminė galia yra 10 MW ir daugiau.</w:t>
            </w:r>
          </w:p>
        </w:tc>
      </w:tr>
      <w:tr w:rsidR="00B1609A" w:rsidRPr="00926858" w14:paraId="69E77AA2" w14:textId="77777777" w:rsidTr="00B1609A">
        <w:trPr>
          <w:trHeight w:val="62"/>
          <w:tblHeader/>
        </w:trPr>
        <w:tc>
          <w:tcPr>
            <w:tcW w:w="0" w:type="auto"/>
            <w:vMerge/>
            <w:tcBorders>
              <w:top w:val="nil"/>
              <w:left w:val="single" w:sz="8" w:space="0" w:color="000000"/>
              <w:bottom w:val="single" w:sz="8" w:space="0" w:color="000000"/>
              <w:right w:val="single" w:sz="8" w:space="0" w:color="000000"/>
            </w:tcBorders>
            <w:vAlign w:val="center"/>
            <w:hideMark/>
          </w:tcPr>
          <w:p w14:paraId="45884182" w14:textId="77777777" w:rsidR="00B1609A" w:rsidRPr="00926858" w:rsidRDefault="00B1609A" w:rsidP="00B1609A">
            <w:pPr>
              <w:spacing w:after="0" w:line="240" w:lineRule="auto"/>
              <w:rPr>
                <w:rFonts w:ascii="Times New Roman" w:eastAsia="Calibri" w:hAnsi="Times New Roman" w:cs="Times New Roman"/>
                <w:b/>
                <w:bCs/>
                <w:color w:val="000000"/>
                <w:sz w:val="24"/>
                <w:szCs w:val="24"/>
                <w:lang w:eastAsia="lt-LT"/>
              </w:rPr>
            </w:pPr>
          </w:p>
        </w:tc>
        <w:tc>
          <w:tcPr>
            <w:tcW w:w="0" w:type="auto"/>
            <w:vMerge/>
            <w:tcBorders>
              <w:top w:val="nil"/>
              <w:left w:val="nil"/>
              <w:bottom w:val="single" w:sz="8" w:space="0" w:color="000000"/>
              <w:right w:val="single" w:sz="8" w:space="0" w:color="000000"/>
            </w:tcBorders>
            <w:vAlign w:val="center"/>
            <w:hideMark/>
          </w:tcPr>
          <w:p w14:paraId="1745FECE" w14:textId="77777777" w:rsidR="00B1609A" w:rsidRPr="00926858" w:rsidRDefault="00B1609A" w:rsidP="00B1609A">
            <w:pPr>
              <w:spacing w:after="0" w:line="240" w:lineRule="auto"/>
              <w:rPr>
                <w:rFonts w:ascii="Times New Roman" w:eastAsia="Calibri" w:hAnsi="Times New Roman" w:cs="Times New Roman"/>
                <w:b/>
                <w:bCs/>
                <w:color w:val="000000"/>
                <w:sz w:val="24"/>
                <w:szCs w:val="24"/>
                <w:lang w:eastAsia="lt-LT"/>
              </w:rPr>
            </w:pPr>
          </w:p>
        </w:tc>
        <w:tc>
          <w:tcPr>
            <w:tcW w:w="5217" w:type="dxa"/>
            <w:tcBorders>
              <w:top w:val="nil"/>
              <w:left w:val="nil"/>
              <w:bottom w:val="single" w:sz="8" w:space="0" w:color="auto"/>
              <w:right w:val="single" w:sz="8" w:space="0" w:color="auto"/>
            </w:tcBorders>
            <w:tcMar>
              <w:top w:w="40" w:type="dxa"/>
              <w:left w:w="57" w:type="dxa"/>
              <w:bottom w:w="40" w:type="dxa"/>
              <w:right w:w="57" w:type="dxa"/>
            </w:tcMar>
            <w:vAlign w:val="center"/>
            <w:hideMark/>
          </w:tcPr>
          <w:p w14:paraId="734CF1DC" w14:textId="77777777" w:rsidR="00B1609A" w:rsidRPr="00926858" w:rsidRDefault="00B1609A" w:rsidP="00B1609A">
            <w:pPr>
              <w:spacing w:after="0" w:line="240" w:lineRule="auto"/>
              <w:jc w:val="center"/>
              <w:rPr>
                <w:rFonts w:ascii="Times New Roman" w:eastAsia="Calibri" w:hAnsi="Times New Roman" w:cs="Times New Roman"/>
                <w:color w:val="000000"/>
                <w:sz w:val="24"/>
                <w:szCs w:val="24"/>
                <w:lang w:eastAsia="lt-LT"/>
              </w:rPr>
            </w:pPr>
            <w:r w:rsidRPr="00926858">
              <w:rPr>
                <w:rFonts w:ascii="Times New Roman" w:eastAsia="Calibri" w:hAnsi="Times New Roman" w:cs="Times New Roman"/>
                <w:color w:val="000000"/>
                <w:sz w:val="24"/>
                <w:szCs w:val="24"/>
                <w:lang w:eastAsia="lt-LT"/>
              </w:rPr>
              <w:t>Elektros energijos gamintojai, kurių agregatai elektros energijos gamybai naudoja hidroenergiją ir kurių vienetinė generatoriaus galia 10 MW ir daugiau.</w:t>
            </w:r>
          </w:p>
        </w:tc>
      </w:tr>
    </w:tbl>
    <w:p w14:paraId="3BFBE2DC" w14:textId="0D1D3275" w:rsidR="00773F09" w:rsidRPr="00926858" w:rsidRDefault="00773F09" w:rsidP="00B1609A">
      <w:pPr>
        <w:spacing w:after="0" w:line="240" w:lineRule="auto"/>
        <w:jc w:val="both"/>
        <w:rPr>
          <w:rFonts w:ascii="Times New Roman" w:hAnsi="Times New Roman"/>
          <w:sz w:val="24"/>
        </w:rPr>
      </w:pPr>
    </w:p>
    <w:p w14:paraId="34257232" w14:textId="12732AB1" w:rsidR="00B1609A" w:rsidRDefault="00B1609A" w:rsidP="009D57F7">
      <w:pPr>
        <w:spacing w:after="0"/>
        <w:jc w:val="both"/>
        <w:rPr>
          <w:rFonts w:ascii="Times New Roman" w:hAnsi="Times New Roman"/>
          <w:sz w:val="24"/>
        </w:rPr>
      </w:pPr>
      <w:r w:rsidRPr="00926858">
        <w:rPr>
          <w:rFonts w:ascii="Times New Roman" w:hAnsi="Times New Roman"/>
          <w:sz w:val="24"/>
        </w:rPr>
        <w:tab/>
        <w:t xml:space="preserve">Ar Energetikos ministerija nesvarsto atitinkamus reikalavimus pritaikyti </w:t>
      </w:r>
      <w:r w:rsidR="00991F61" w:rsidRPr="00926858">
        <w:rPr>
          <w:rFonts w:ascii="Times New Roman" w:hAnsi="Times New Roman"/>
          <w:sz w:val="24"/>
        </w:rPr>
        <w:t xml:space="preserve">ir </w:t>
      </w:r>
      <w:r w:rsidR="00D2414E" w:rsidRPr="00926858">
        <w:rPr>
          <w:rFonts w:ascii="Times New Roman" w:hAnsi="Times New Roman"/>
          <w:sz w:val="24"/>
        </w:rPr>
        <w:t>maž</w:t>
      </w:r>
      <w:r w:rsidR="00991F61" w:rsidRPr="00926858">
        <w:rPr>
          <w:rFonts w:ascii="Times New Roman" w:hAnsi="Times New Roman"/>
          <w:sz w:val="24"/>
        </w:rPr>
        <w:t xml:space="preserve">esnės </w:t>
      </w:r>
      <w:r w:rsidRPr="00926858">
        <w:rPr>
          <w:rFonts w:ascii="Times New Roman" w:hAnsi="Times New Roman"/>
          <w:sz w:val="24"/>
        </w:rPr>
        <w:t xml:space="preserve"> galios </w:t>
      </w:r>
      <w:r w:rsidR="00991F61" w:rsidRPr="00926858">
        <w:rPr>
          <w:rFonts w:ascii="Times New Roman" w:hAnsi="Times New Roman"/>
          <w:sz w:val="24"/>
        </w:rPr>
        <w:t xml:space="preserve">nuolat veikiančioms </w:t>
      </w:r>
      <w:r w:rsidRPr="00926858">
        <w:rPr>
          <w:rFonts w:ascii="Times New Roman" w:hAnsi="Times New Roman"/>
          <w:sz w:val="24"/>
        </w:rPr>
        <w:t>biokogeneracinėms elektrinėms?</w:t>
      </w:r>
    </w:p>
    <w:p w14:paraId="6EA91409" w14:textId="77777777" w:rsidR="00B1609A" w:rsidRPr="00B1609A" w:rsidRDefault="00B1609A" w:rsidP="009D57F7">
      <w:pPr>
        <w:spacing w:after="0"/>
        <w:jc w:val="both"/>
        <w:rPr>
          <w:rFonts w:ascii="Times New Roman" w:hAnsi="Times New Roman"/>
          <w:sz w:val="24"/>
        </w:rPr>
      </w:pPr>
    </w:p>
    <w:p w14:paraId="0205237A" w14:textId="5269759A" w:rsidR="00CD0C99" w:rsidRDefault="00CD0C99" w:rsidP="009D57F7">
      <w:pPr>
        <w:pStyle w:val="ListParagraph"/>
        <w:numPr>
          <w:ilvl w:val="0"/>
          <w:numId w:val="3"/>
        </w:numPr>
        <w:spacing w:after="0"/>
        <w:jc w:val="both"/>
        <w:rPr>
          <w:rFonts w:ascii="Times New Roman" w:hAnsi="Times New Roman"/>
          <w:sz w:val="24"/>
        </w:rPr>
      </w:pPr>
      <w:r>
        <w:rPr>
          <w:rFonts w:ascii="Times New Roman" w:hAnsi="Times New Roman"/>
          <w:sz w:val="24"/>
        </w:rPr>
        <w:t xml:space="preserve">Taisyklių </w:t>
      </w:r>
      <w:r w:rsidRPr="00CD0C99">
        <w:rPr>
          <w:rFonts w:ascii="Times New Roman" w:hAnsi="Times New Roman"/>
          <w:sz w:val="24"/>
        </w:rPr>
        <w:t>33</w:t>
      </w:r>
      <w:r w:rsidRPr="00CD0C99">
        <w:rPr>
          <w:rFonts w:ascii="Times New Roman" w:hAnsi="Times New Roman"/>
          <w:sz w:val="24"/>
          <w:vertAlign w:val="superscript"/>
        </w:rPr>
        <w:t>1</w:t>
      </w:r>
      <w:r w:rsidRPr="00CD0C99">
        <w:rPr>
          <w:rFonts w:ascii="Times New Roman" w:hAnsi="Times New Roman"/>
          <w:sz w:val="24"/>
        </w:rPr>
        <w:t xml:space="preserve">.1. </w:t>
      </w:r>
      <w:r>
        <w:rPr>
          <w:rFonts w:ascii="Times New Roman" w:hAnsi="Times New Roman"/>
          <w:sz w:val="24"/>
        </w:rPr>
        <w:t xml:space="preserve">punkte nurodyta: </w:t>
      </w:r>
      <w:r w:rsidRPr="00CD0C99">
        <w:rPr>
          <w:rFonts w:ascii="Times New Roman" w:hAnsi="Times New Roman"/>
          <w:i/>
          <w:iCs/>
          <w:sz w:val="24"/>
        </w:rPr>
        <w:t xml:space="preserve">Perdavimo sistemos operatorius, vadovaudamasis Lietuvos Respublikos teisės aktų nuostatomis bei perdavimo sistemos operatoriaus po viešųjų konsultacijų su elektros energijos gamintojais parengtu ir su Energetikos ministerija raštu suderintu tretinio aktyviosios galios rezervo aukciono reglamentu, </w:t>
      </w:r>
      <w:r w:rsidRPr="00CD0C99">
        <w:rPr>
          <w:rFonts w:ascii="Times New Roman" w:hAnsi="Times New Roman"/>
          <w:i/>
          <w:iCs/>
          <w:sz w:val="24"/>
          <w:u w:val="single"/>
        </w:rPr>
        <w:t>kartą per metus organizuoja ir vykdo tretinio aktyviosios galios rezervo užtikrinimo paslaugos pirkimą aukciono būdu</w:t>
      </w:r>
      <w:r w:rsidRPr="00CD0C99">
        <w:rPr>
          <w:rFonts w:ascii="Times New Roman" w:hAnsi="Times New Roman"/>
          <w:i/>
          <w:iCs/>
          <w:sz w:val="24"/>
        </w:rPr>
        <w:t xml:space="preserve"> visam kalendorinių metų laikotarpiui</w:t>
      </w:r>
      <w:r w:rsidRPr="00CD0C99">
        <w:rPr>
          <w:rFonts w:ascii="Times New Roman" w:hAnsi="Times New Roman"/>
          <w:sz w:val="24"/>
        </w:rPr>
        <w:t>.</w:t>
      </w:r>
      <w:r>
        <w:rPr>
          <w:rFonts w:ascii="Times New Roman" w:hAnsi="Times New Roman"/>
          <w:sz w:val="24"/>
        </w:rPr>
        <w:t xml:space="preserve"> Taip pat taisyklė nurodyta, kad </w:t>
      </w:r>
      <w:r w:rsidRPr="00CD0C99">
        <w:rPr>
          <w:rFonts w:ascii="Times New Roman" w:hAnsi="Times New Roman"/>
          <w:sz w:val="24"/>
        </w:rPr>
        <w:t xml:space="preserve">Tretinio aktyviosios galios rezervo aukcione pasiūlymus teikia </w:t>
      </w:r>
      <w:r w:rsidRPr="00CD0C99">
        <w:rPr>
          <w:rFonts w:ascii="Times New Roman" w:hAnsi="Times New Roman"/>
          <w:sz w:val="24"/>
          <w:u w:val="single"/>
        </w:rPr>
        <w:t>visi elektros energijos gamintojai</w:t>
      </w:r>
      <w:r w:rsidRPr="00CD0C99">
        <w:rPr>
          <w:rFonts w:ascii="Times New Roman" w:hAnsi="Times New Roman"/>
          <w:sz w:val="24"/>
        </w:rPr>
        <w:t xml:space="preserve">, kurių bent vieno </w:t>
      </w:r>
      <w:bookmarkStart w:id="0" w:name="_Hlk60066586"/>
      <w:r w:rsidRPr="00CD0C99">
        <w:rPr>
          <w:rFonts w:ascii="Times New Roman" w:hAnsi="Times New Roman"/>
          <w:sz w:val="24"/>
        </w:rPr>
        <w:t xml:space="preserve">elektros energijos gamybos įrenginio įrengtoji vienetinė </w:t>
      </w:r>
      <w:r w:rsidRPr="00CD0C99">
        <w:rPr>
          <w:rFonts w:ascii="Times New Roman" w:hAnsi="Times New Roman"/>
          <w:sz w:val="24"/>
          <w:u w:val="single"/>
        </w:rPr>
        <w:t xml:space="preserve">aktyvioji galia yra 20 MW </w:t>
      </w:r>
      <w:bookmarkEnd w:id="0"/>
      <w:r w:rsidRPr="00CD0C99">
        <w:rPr>
          <w:rFonts w:ascii="Times New Roman" w:hAnsi="Times New Roman"/>
          <w:sz w:val="24"/>
          <w:u w:val="single"/>
        </w:rPr>
        <w:t>ir daugiau</w:t>
      </w:r>
      <w:r>
        <w:rPr>
          <w:rFonts w:ascii="Times New Roman" w:hAnsi="Times New Roman"/>
          <w:sz w:val="24"/>
          <w:u w:val="single"/>
        </w:rPr>
        <w:t xml:space="preserve"> </w:t>
      </w:r>
      <w:r>
        <w:rPr>
          <w:rFonts w:ascii="Times New Roman" w:hAnsi="Times New Roman"/>
          <w:sz w:val="24"/>
        </w:rPr>
        <w:t>&lt;...&gt;.</w:t>
      </w:r>
    </w:p>
    <w:p w14:paraId="32D17036" w14:textId="42A21457" w:rsidR="00CD0C99" w:rsidRDefault="00CD0C99" w:rsidP="009D57F7">
      <w:pPr>
        <w:pStyle w:val="ListParagraph"/>
        <w:spacing w:after="0"/>
        <w:jc w:val="both"/>
        <w:rPr>
          <w:rFonts w:ascii="Times New Roman" w:hAnsi="Times New Roman"/>
          <w:sz w:val="24"/>
        </w:rPr>
      </w:pPr>
      <w:r>
        <w:rPr>
          <w:rFonts w:ascii="Times New Roman" w:hAnsi="Times New Roman"/>
          <w:sz w:val="24"/>
        </w:rPr>
        <w:t>- Ar šiuo metu esamų pajėgumų užtenka, kad būtų užtikrintas tretinis rezervas?</w:t>
      </w:r>
    </w:p>
    <w:p w14:paraId="5EF3166F" w14:textId="5B9E08CE" w:rsidR="00CD0C99" w:rsidRDefault="00CD0C99" w:rsidP="009D57F7">
      <w:pPr>
        <w:pStyle w:val="ListParagraph"/>
        <w:spacing w:after="0"/>
        <w:jc w:val="both"/>
        <w:rPr>
          <w:rFonts w:ascii="Times New Roman" w:hAnsi="Times New Roman"/>
          <w:sz w:val="24"/>
        </w:rPr>
      </w:pPr>
      <w:r>
        <w:rPr>
          <w:rFonts w:ascii="Times New Roman" w:hAnsi="Times New Roman"/>
          <w:sz w:val="24"/>
        </w:rPr>
        <w:t xml:space="preserve">- Kuo remiantis reglamentuota </w:t>
      </w:r>
      <w:r w:rsidRPr="00CD0C99">
        <w:rPr>
          <w:rFonts w:ascii="Times New Roman" w:hAnsi="Times New Roman"/>
          <w:sz w:val="24"/>
        </w:rPr>
        <w:t>elektros energijos gamybos įrenginio įrengtoji vienetinė aktyvioji galia yra 20 MW</w:t>
      </w:r>
      <w:r>
        <w:rPr>
          <w:rFonts w:ascii="Times New Roman" w:hAnsi="Times New Roman"/>
          <w:sz w:val="24"/>
        </w:rPr>
        <w:t xml:space="preserve">? Ar ministerija nemato poreikio, kad tretinio rezervo aukcione dalyvautų </w:t>
      </w:r>
      <w:r w:rsidR="00991F61">
        <w:rPr>
          <w:rFonts w:ascii="Times New Roman" w:hAnsi="Times New Roman"/>
          <w:sz w:val="24"/>
        </w:rPr>
        <w:t xml:space="preserve">ir </w:t>
      </w:r>
      <w:r>
        <w:rPr>
          <w:rFonts w:ascii="Times New Roman" w:hAnsi="Times New Roman"/>
          <w:sz w:val="24"/>
        </w:rPr>
        <w:t xml:space="preserve">mažosios biokogeneracinės jėgainės? </w:t>
      </w:r>
    </w:p>
    <w:p w14:paraId="1131DE29" w14:textId="77777777" w:rsidR="00C123E9" w:rsidRPr="00CD0C99" w:rsidRDefault="00C123E9" w:rsidP="009D57F7">
      <w:pPr>
        <w:pStyle w:val="ListParagraph"/>
        <w:spacing w:after="0"/>
        <w:jc w:val="both"/>
        <w:rPr>
          <w:rFonts w:ascii="Times New Roman" w:hAnsi="Times New Roman"/>
          <w:sz w:val="24"/>
        </w:rPr>
      </w:pPr>
    </w:p>
    <w:p w14:paraId="15BD774A" w14:textId="413B8641" w:rsidR="003F66F2" w:rsidRDefault="003F66F2" w:rsidP="009D57F7">
      <w:pPr>
        <w:pStyle w:val="ListParagraph"/>
        <w:numPr>
          <w:ilvl w:val="0"/>
          <w:numId w:val="3"/>
        </w:numPr>
        <w:spacing w:after="0"/>
        <w:jc w:val="both"/>
        <w:rPr>
          <w:rFonts w:ascii="Times New Roman" w:hAnsi="Times New Roman"/>
          <w:sz w:val="24"/>
        </w:rPr>
      </w:pPr>
      <w:r>
        <w:rPr>
          <w:rFonts w:ascii="Times New Roman" w:hAnsi="Times New Roman"/>
          <w:sz w:val="24"/>
        </w:rPr>
        <w:t xml:space="preserve">Elektros energetikos </w:t>
      </w:r>
      <w:r w:rsidRPr="003F66F2">
        <w:rPr>
          <w:rFonts w:ascii="Times New Roman" w:hAnsi="Times New Roman"/>
          <w:sz w:val="24"/>
        </w:rPr>
        <w:t>įstatymo Nr. VIII-1881 2, 9, 12, 16, 17, 30, 31, 33, 35, 39</w:t>
      </w:r>
      <w:r w:rsidRPr="003F66F2">
        <w:rPr>
          <w:rFonts w:ascii="Times New Roman" w:hAnsi="Times New Roman"/>
          <w:sz w:val="24"/>
          <w:vertAlign w:val="superscript"/>
        </w:rPr>
        <w:t>1</w:t>
      </w:r>
      <w:r w:rsidRPr="003F66F2">
        <w:rPr>
          <w:rFonts w:ascii="Times New Roman" w:hAnsi="Times New Roman"/>
          <w:sz w:val="24"/>
        </w:rPr>
        <w:t>, 41, 59, 69 straipsnių ir priedo pakeitimo ir įstatymo papildymo 61</w:t>
      </w:r>
      <w:r w:rsidRPr="003F66F2">
        <w:rPr>
          <w:rFonts w:ascii="Times New Roman" w:hAnsi="Times New Roman"/>
          <w:sz w:val="24"/>
          <w:vertAlign w:val="superscript"/>
        </w:rPr>
        <w:t>1</w:t>
      </w:r>
      <w:r w:rsidRPr="003F66F2">
        <w:rPr>
          <w:rFonts w:ascii="Times New Roman" w:hAnsi="Times New Roman"/>
          <w:sz w:val="24"/>
        </w:rPr>
        <w:t> straipsniu įstatymu</w:t>
      </w:r>
      <w:r>
        <w:rPr>
          <w:rFonts w:ascii="Times New Roman" w:hAnsi="Times New Roman"/>
          <w:sz w:val="24"/>
        </w:rPr>
        <w:t xml:space="preserve">, kuris buvo priimtas </w:t>
      </w:r>
      <w:r w:rsidRPr="003F66F2">
        <w:rPr>
          <w:rFonts w:ascii="Times New Roman" w:hAnsi="Times New Roman"/>
          <w:sz w:val="24"/>
        </w:rPr>
        <w:t>2020 m. birželio 4 d.</w:t>
      </w:r>
      <w:r>
        <w:rPr>
          <w:rFonts w:ascii="Times New Roman" w:hAnsi="Times New Roman"/>
          <w:sz w:val="24"/>
        </w:rPr>
        <w:t xml:space="preserve">, reglamentuota </w:t>
      </w:r>
      <w:r w:rsidRPr="003F66F2">
        <w:rPr>
          <w:rFonts w:ascii="Times New Roman" w:hAnsi="Times New Roman"/>
          <w:sz w:val="24"/>
        </w:rPr>
        <w:t>galimybės atsirasti naujoms paslaugoms elektros energijos rinkoje ir  naujiems rinkos dalyviams – nepriklausomiems elektros energijos paklausos telkėjams.</w:t>
      </w:r>
      <w:r>
        <w:rPr>
          <w:rFonts w:ascii="Times New Roman" w:hAnsi="Times New Roman"/>
          <w:sz w:val="24"/>
        </w:rPr>
        <w:t xml:space="preserve"> Kaip nurodyta Energetikos ministerijos pranešime</w:t>
      </w:r>
      <w:r>
        <w:rPr>
          <w:rStyle w:val="FootnoteReference"/>
          <w:rFonts w:ascii="Times New Roman" w:hAnsi="Times New Roman"/>
          <w:sz w:val="24"/>
        </w:rPr>
        <w:footnoteReference w:id="1"/>
      </w:r>
      <w:r>
        <w:rPr>
          <w:rFonts w:ascii="Times New Roman" w:hAnsi="Times New Roman"/>
          <w:sz w:val="24"/>
        </w:rPr>
        <w:t xml:space="preserve">, </w:t>
      </w:r>
      <w:r w:rsidRPr="003F66F2">
        <w:rPr>
          <w:rFonts w:ascii="Times New Roman" w:hAnsi="Times New Roman"/>
          <w:i/>
          <w:iCs/>
          <w:sz w:val="24"/>
        </w:rPr>
        <w:t>Nepriklausomi paklausos telkėjai, norėdami dalyvauti elektros energijos balansavimo, rezervinės galios  paslaugų teikime, telks elektros vartotojus ir gamintojus, kuriuos domins galimybės reaguoti į elektros rinkos pasiūlos ir paklausos signalus bei elektros perdavimo sistemos operatoriaus skatinamąsias išmokas, siūlant galimybes sumažinti arba padidinti savo elektros energijos vartojimą, keisti savo įprastą elektros energijos vartojimo režimą. Pasitelkus paklausos valdymo priemones bus galima ne tik efektyviau vartoti elektros energiją, bet ir optimaliai panaudoti perdavimo ir skirstomojo tinklų bei generavimo pajėgumus</w:t>
      </w:r>
      <w:r w:rsidRPr="003F66F2">
        <w:rPr>
          <w:rFonts w:ascii="Times New Roman" w:hAnsi="Times New Roman"/>
          <w:sz w:val="24"/>
        </w:rPr>
        <w:t>.</w:t>
      </w:r>
    </w:p>
    <w:p w14:paraId="239A4D66" w14:textId="08F672CB" w:rsidR="003F66F2" w:rsidRDefault="003F66F2" w:rsidP="009D57F7">
      <w:pPr>
        <w:pStyle w:val="ListParagraph"/>
        <w:spacing w:after="0"/>
        <w:jc w:val="both"/>
        <w:rPr>
          <w:rFonts w:ascii="Times New Roman" w:hAnsi="Times New Roman"/>
          <w:sz w:val="24"/>
        </w:rPr>
      </w:pPr>
      <w:r>
        <w:rPr>
          <w:rFonts w:ascii="Times New Roman" w:hAnsi="Times New Roman"/>
          <w:sz w:val="24"/>
        </w:rPr>
        <w:t>- Prašome Energetikos ministerijos nurodyti, kaip šilumos tiekėjai</w:t>
      </w:r>
      <w:r w:rsidR="00991F61">
        <w:rPr>
          <w:rFonts w:ascii="Times New Roman" w:hAnsi="Times New Roman"/>
          <w:sz w:val="24"/>
        </w:rPr>
        <w:t xml:space="preserve">, valdantys biokogeneracines elektrines, </w:t>
      </w:r>
      <w:r>
        <w:rPr>
          <w:rFonts w:ascii="Times New Roman" w:hAnsi="Times New Roman"/>
          <w:sz w:val="24"/>
        </w:rPr>
        <w:t>galėtų dalyvauti ir gauti papildom</w:t>
      </w:r>
      <w:r w:rsidR="00991F61">
        <w:rPr>
          <w:rFonts w:ascii="Times New Roman" w:hAnsi="Times New Roman"/>
          <w:sz w:val="24"/>
        </w:rPr>
        <w:t xml:space="preserve">ų </w:t>
      </w:r>
      <w:r>
        <w:rPr>
          <w:rFonts w:ascii="Times New Roman" w:hAnsi="Times New Roman"/>
          <w:sz w:val="24"/>
        </w:rPr>
        <w:t xml:space="preserve"> pajam</w:t>
      </w:r>
      <w:r w:rsidR="00991F61">
        <w:rPr>
          <w:rFonts w:ascii="Times New Roman" w:hAnsi="Times New Roman"/>
          <w:sz w:val="24"/>
        </w:rPr>
        <w:t>ų</w:t>
      </w:r>
      <w:r>
        <w:rPr>
          <w:rFonts w:ascii="Times New Roman" w:hAnsi="Times New Roman"/>
          <w:sz w:val="24"/>
        </w:rPr>
        <w:t xml:space="preserve"> kaip </w:t>
      </w:r>
      <w:r w:rsidRPr="003F66F2">
        <w:rPr>
          <w:rFonts w:ascii="Times New Roman" w:hAnsi="Times New Roman"/>
          <w:i/>
          <w:iCs/>
          <w:sz w:val="24"/>
        </w:rPr>
        <w:t>elektros energijos paklausos telkėjai</w:t>
      </w:r>
      <w:r>
        <w:rPr>
          <w:rFonts w:ascii="Times New Roman" w:hAnsi="Times New Roman"/>
          <w:sz w:val="24"/>
        </w:rPr>
        <w:t>?</w:t>
      </w:r>
    </w:p>
    <w:p w14:paraId="27CA6815" w14:textId="77777777" w:rsidR="00C123E9" w:rsidRPr="003F66F2" w:rsidRDefault="00C123E9" w:rsidP="009D57F7">
      <w:pPr>
        <w:pStyle w:val="ListParagraph"/>
        <w:spacing w:after="0"/>
        <w:jc w:val="both"/>
        <w:rPr>
          <w:rFonts w:ascii="Times New Roman" w:hAnsi="Times New Roman"/>
          <w:sz w:val="24"/>
        </w:rPr>
      </w:pPr>
    </w:p>
    <w:p w14:paraId="00852925" w14:textId="42FD76E5" w:rsidR="00B1609A" w:rsidRDefault="00C123E9" w:rsidP="009D57F7">
      <w:pPr>
        <w:pStyle w:val="ListParagraph"/>
        <w:numPr>
          <w:ilvl w:val="0"/>
          <w:numId w:val="3"/>
        </w:numPr>
        <w:spacing w:after="0"/>
        <w:jc w:val="both"/>
        <w:rPr>
          <w:rFonts w:ascii="Times New Roman" w:hAnsi="Times New Roman"/>
          <w:sz w:val="24"/>
        </w:rPr>
      </w:pPr>
      <w:r>
        <w:rPr>
          <w:rFonts w:ascii="Times New Roman" w:hAnsi="Times New Roman"/>
          <w:sz w:val="24"/>
        </w:rPr>
        <w:t xml:space="preserve">Gal ministerijai žinomi </w:t>
      </w:r>
      <w:r w:rsidRPr="0013641A">
        <w:rPr>
          <w:rFonts w:ascii="Times New Roman" w:hAnsi="Times New Roman"/>
          <w:b/>
          <w:bCs/>
          <w:sz w:val="24"/>
        </w:rPr>
        <w:t>kiti sisteminių paslaugų mechanizmai</w:t>
      </w:r>
      <w:r>
        <w:rPr>
          <w:rFonts w:ascii="Times New Roman" w:hAnsi="Times New Roman"/>
          <w:sz w:val="24"/>
        </w:rPr>
        <w:t xml:space="preserve">, kuriais galėtų pasinaudoti </w:t>
      </w:r>
      <w:r w:rsidR="00D837B3">
        <w:rPr>
          <w:rFonts w:ascii="Times New Roman" w:hAnsi="Times New Roman"/>
          <w:sz w:val="24"/>
        </w:rPr>
        <w:t>centralizuoto šilumos tiekimo</w:t>
      </w:r>
      <w:r w:rsidR="00991F61">
        <w:rPr>
          <w:rFonts w:ascii="Times New Roman" w:hAnsi="Times New Roman"/>
          <w:sz w:val="24"/>
        </w:rPr>
        <w:t xml:space="preserve"> sistemose pastoviai veikiantys </w:t>
      </w:r>
      <w:r>
        <w:rPr>
          <w:rFonts w:ascii="Times New Roman" w:hAnsi="Times New Roman"/>
          <w:sz w:val="24"/>
        </w:rPr>
        <w:t>šilumos tiekėjų kogeneraciniai įrenginiai ir tvariai prisidėti prie elektros energetikos sistemos?</w:t>
      </w:r>
    </w:p>
    <w:p w14:paraId="78D41171" w14:textId="0330A7C9" w:rsidR="00B1609A" w:rsidRDefault="00B1609A" w:rsidP="009D57F7">
      <w:pPr>
        <w:spacing w:after="0"/>
        <w:jc w:val="both"/>
        <w:rPr>
          <w:rFonts w:ascii="Times New Roman" w:hAnsi="Times New Roman"/>
          <w:sz w:val="24"/>
        </w:rPr>
      </w:pPr>
    </w:p>
    <w:p w14:paraId="7CA17420" w14:textId="030A355B" w:rsidR="00C123E9" w:rsidRPr="00926858" w:rsidRDefault="00C123E9" w:rsidP="009D57F7">
      <w:pPr>
        <w:spacing w:after="0"/>
        <w:ind w:firstLine="720"/>
        <w:jc w:val="both"/>
        <w:rPr>
          <w:rFonts w:ascii="Times New Roman" w:hAnsi="Times New Roman"/>
          <w:sz w:val="24"/>
        </w:rPr>
      </w:pPr>
      <w:r>
        <w:rPr>
          <w:rFonts w:ascii="Times New Roman" w:hAnsi="Times New Roman"/>
          <w:sz w:val="24"/>
        </w:rPr>
        <w:t xml:space="preserve">Asociacija ir šilumos tiekėjai norėtų gauti visapusišką elektros energijos sisteminių paslaugų schemos(ų) </w:t>
      </w:r>
      <w:r w:rsidR="00991F61">
        <w:rPr>
          <w:rFonts w:ascii="Times New Roman" w:hAnsi="Times New Roman"/>
          <w:sz w:val="24"/>
        </w:rPr>
        <w:t xml:space="preserve">dabartinį ir perspektyvinį </w:t>
      </w:r>
      <w:r>
        <w:rPr>
          <w:rFonts w:ascii="Times New Roman" w:hAnsi="Times New Roman"/>
          <w:sz w:val="24"/>
        </w:rPr>
        <w:t>vaizdą, todėl siūlytume organizuoti tikslinį pasitarimą šiais klausimais.</w:t>
      </w:r>
      <w:r w:rsidR="00991F61">
        <w:rPr>
          <w:rFonts w:ascii="Times New Roman" w:hAnsi="Times New Roman"/>
          <w:sz w:val="24"/>
        </w:rPr>
        <w:t xml:space="preserve"> Jeigu atsirastų </w:t>
      </w:r>
      <w:r w:rsidR="00743220">
        <w:rPr>
          <w:rFonts w:ascii="Times New Roman" w:hAnsi="Times New Roman"/>
          <w:sz w:val="24"/>
        </w:rPr>
        <w:t xml:space="preserve">perspektyvos </w:t>
      </w:r>
      <w:r w:rsidR="00991F61">
        <w:rPr>
          <w:rFonts w:ascii="Times New Roman" w:hAnsi="Times New Roman"/>
          <w:sz w:val="24"/>
        </w:rPr>
        <w:t xml:space="preserve">dalyvauti sisteminių paslaugų rinkose, uždirbant </w:t>
      </w:r>
      <w:r w:rsidR="00743220">
        <w:rPr>
          <w:rFonts w:ascii="Times New Roman" w:hAnsi="Times New Roman"/>
          <w:sz w:val="24"/>
        </w:rPr>
        <w:t>papildomų p</w:t>
      </w:r>
      <w:r w:rsidR="00991F61">
        <w:rPr>
          <w:rFonts w:ascii="Times New Roman" w:hAnsi="Times New Roman"/>
          <w:sz w:val="24"/>
        </w:rPr>
        <w:t>ajamų, tai</w:t>
      </w:r>
      <w:r w:rsidR="00743220">
        <w:rPr>
          <w:rFonts w:ascii="Times New Roman" w:hAnsi="Times New Roman"/>
          <w:sz w:val="24"/>
        </w:rPr>
        <w:t xml:space="preserve"> </w:t>
      </w:r>
      <w:r w:rsidR="00743220" w:rsidRPr="00926858">
        <w:rPr>
          <w:rFonts w:ascii="Times New Roman" w:hAnsi="Times New Roman"/>
          <w:sz w:val="24"/>
        </w:rPr>
        <w:t xml:space="preserve">žymiai pagerintų biokogeneracijos projektų ekonominį pagrindimą ir motyvaciją juos vystyti. </w:t>
      </w:r>
      <w:r w:rsidR="00991F61" w:rsidRPr="00926858">
        <w:rPr>
          <w:rFonts w:ascii="Times New Roman" w:hAnsi="Times New Roman"/>
          <w:sz w:val="24"/>
        </w:rPr>
        <w:t xml:space="preserve">     </w:t>
      </w:r>
    </w:p>
    <w:p w14:paraId="5CE7BD3A" w14:textId="77777777" w:rsidR="001E3FD9" w:rsidRPr="00926858" w:rsidRDefault="001E3FD9" w:rsidP="009D57F7">
      <w:pPr>
        <w:spacing w:after="0"/>
        <w:jc w:val="both"/>
        <w:rPr>
          <w:rFonts w:ascii="Times New Roman" w:hAnsi="Times New Roman"/>
          <w:sz w:val="24"/>
        </w:rPr>
      </w:pPr>
    </w:p>
    <w:p w14:paraId="28B1C21A" w14:textId="77777777" w:rsidR="00350FC9" w:rsidRPr="00926858" w:rsidRDefault="00350FC9" w:rsidP="00350FC9">
      <w:pPr>
        <w:spacing w:line="240" w:lineRule="auto"/>
        <w:rPr>
          <w:rFonts w:ascii="Times New Roman" w:hAnsi="Times New Roman" w:cs="Times New Roman"/>
          <w:sz w:val="24"/>
          <w:szCs w:val="24"/>
        </w:rPr>
      </w:pPr>
    </w:p>
    <w:p w14:paraId="186F321C" w14:textId="7705C5C8" w:rsidR="00033889" w:rsidRDefault="00350FC9" w:rsidP="00926858">
      <w:pPr>
        <w:spacing w:line="240" w:lineRule="auto"/>
        <w:ind w:firstLine="720"/>
        <w:rPr>
          <w:rFonts w:ascii="Times New Roman" w:hAnsi="Times New Roman" w:cs="Times New Roman"/>
          <w:sz w:val="24"/>
          <w:szCs w:val="24"/>
        </w:rPr>
      </w:pPr>
      <w:r w:rsidRPr="00926858">
        <w:rPr>
          <w:rFonts w:ascii="Times New Roman" w:hAnsi="Times New Roman" w:cs="Times New Roman"/>
          <w:sz w:val="24"/>
          <w:szCs w:val="24"/>
        </w:rPr>
        <w:t>LŠTA</w:t>
      </w:r>
      <w:r w:rsidR="00991F61" w:rsidRPr="00926858">
        <w:rPr>
          <w:rFonts w:ascii="Times New Roman" w:hAnsi="Times New Roman" w:cs="Times New Roman"/>
          <w:sz w:val="24"/>
          <w:szCs w:val="24"/>
        </w:rPr>
        <w:t xml:space="preserve"> p</w:t>
      </w:r>
      <w:r w:rsidR="00033889" w:rsidRPr="00926858">
        <w:rPr>
          <w:rFonts w:ascii="Times New Roman" w:hAnsi="Times New Roman" w:cs="Times New Roman"/>
          <w:sz w:val="24"/>
          <w:szCs w:val="24"/>
        </w:rPr>
        <w:t xml:space="preserve">rezidentas </w:t>
      </w:r>
      <w:r w:rsidR="00033889" w:rsidRPr="00926858">
        <w:rPr>
          <w:rFonts w:ascii="Times New Roman" w:hAnsi="Times New Roman" w:cs="Times New Roman"/>
          <w:sz w:val="24"/>
          <w:szCs w:val="24"/>
        </w:rPr>
        <w:tab/>
      </w:r>
      <w:r w:rsidR="00033889" w:rsidRPr="00926858">
        <w:rPr>
          <w:rFonts w:ascii="Times New Roman" w:hAnsi="Times New Roman" w:cs="Times New Roman"/>
          <w:sz w:val="24"/>
          <w:szCs w:val="24"/>
        </w:rPr>
        <w:tab/>
      </w:r>
      <w:r w:rsidR="00033889" w:rsidRPr="00926858">
        <w:rPr>
          <w:rFonts w:ascii="Times New Roman" w:hAnsi="Times New Roman" w:cs="Times New Roman"/>
          <w:sz w:val="24"/>
          <w:szCs w:val="24"/>
        </w:rPr>
        <w:tab/>
      </w:r>
      <w:r w:rsidR="00033889" w:rsidRPr="00926858">
        <w:rPr>
          <w:rFonts w:ascii="Times New Roman" w:hAnsi="Times New Roman" w:cs="Times New Roman"/>
          <w:sz w:val="24"/>
          <w:szCs w:val="24"/>
        </w:rPr>
        <w:tab/>
      </w:r>
      <w:r w:rsidR="00926858">
        <w:rPr>
          <w:rFonts w:ascii="Times New Roman" w:hAnsi="Times New Roman" w:cs="Times New Roman"/>
          <w:sz w:val="24"/>
          <w:szCs w:val="24"/>
        </w:rPr>
        <w:tab/>
      </w:r>
      <w:r w:rsidR="00033889" w:rsidRPr="00926858">
        <w:rPr>
          <w:rFonts w:ascii="Times New Roman" w:hAnsi="Times New Roman" w:cs="Times New Roman"/>
          <w:sz w:val="24"/>
          <w:szCs w:val="24"/>
        </w:rPr>
        <w:t>dr. 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5424D045" w14:textId="2356CDB8" w:rsidR="004D5F63" w:rsidRDefault="004D5F63" w:rsidP="00033889">
      <w:pPr>
        <w:spacing w:line="240" w:lineRule="auto"/>
        <w:rPr>
          <w:rFonts w:ascii="Times New Roman" w:hAnsi="Times New Roman" w:cs="Times New Roman"/>
          <w:sz w:val="24"/>
          <w:szCs w:val="24"/>
        </w:rPr>
      </w:pPr>
    </w:p>
    <w:p w14:paraId="541EDFD6" w14:textId="77777777" w:rsidR="004D5F63" w:rsidRDefault="004D5F63" w:rsidP="00033889">
      <w:pPr>
        <w:spacing w:line="240" w:lineRule="auto"/>
        <w:rPr>
          <w:rFonts w:ascii="Times New Roman" w:hAnsi="Times New Roman" w:cs="Times New Roman"/>
          <w:sz w:val="24"/>
          <w:szCs w:val="24"/>
        </w:rPr>
      </w:pPr>
    </w:p>
    <w:p w14:paraId="09B84B60" w14:textId="22A9977D" w:rsidR="00033889" w:rsidRDefault="00033889" w:rsidP="00033889">
      <w:pPr>
        <w:spacing w:line="240" w:lineRule="auto"/>
        <w:rPr>
          <w:rFonts w:ascii="Times New Roman" w:hAnsi="Times New Roman" w:cs="Times New Roman"/>
          <w:sz w:val="24"/>
          <w:szCs w:val="24"/>
        </w:rPr>
      </w:pPr>
    </w:p>
    <w:p w14:paraId="5F255486" w14:textId="362888C6" w:rsidR="00D2414E" w:rsidRDefault="00D2414E" w:rsidP="00033889">
      <w:pPr>
        <w:spacing w:line="240" w:lineRule="auto"/>
        <w:rPr>
          <w:rFonts w:ascii="Times New Roman" w:hAnsi="Times New Roman" w:cs="Times New Roman"/>
          <w:sz w:val="24"/>
          <w:szCs w:val="24"/>
        </w:rPr>
      </w:pPr>
    </w:p>
    <w:p w14:paraId="4C13E394" w14:textId="320E81D4" w:rsidR="00D2414E" w:rsidRDefault="00D2414E" w:rsidP="00033889">
      <w:pPr>
        <w:spacing w:line="240" w:lineRule="auto"/>
        <w:rPr>
          <w:rFonts w:ascii="Times New Roman" w:hAnsi="Times New Roman" w:cs="Times New Roman"/>
          <w:sz w:val="24"/>
          <w:szCs w:val="24"/>
        </w:rPr>
      </w:pPr>
    </w:p>
    <w:p w14:paraId="71976C6B" w14:textId="59272CDF" w:rsidR="00D2414E" w:rsidRDefault="00D2414E" w:rsidP="00033889">
      <w:pPr>
        <w:spacing w:line="240" w:lineRule="auto"/>
        <w:rPr>
          <w:rFonts w:ascii="Times New Roman" w:hAnsi="Times New Roman" w:cs="Times New Roman"/>
          <w:sz w:val="24"/>
          <w:szCs w:val="24"/>
        </w:rPr>
      </w:pPr>
    </w:p>
    <w:p w14:paraId="4EF14559" w14:textId="18FE351C" w:rsidR="00D2414E" w:rsidRDefault="00D2414E" w:rsidP="00033889">
      <w:pPr>
        <w:spacing w:line="240" w:lineRule="auto"/>
        <w:rPr>
          <w:rFonts w:ascii="Times New Roman" w:hAnsi="Times New Roman" w:cs="Times New Roman"/>
          <w:sz w:val="24"/>
          <w:szCs w:val="24"/>
        </w:rPr>
      </w:pPr>
    </w:p>
    <w:p w14:paraId="6B483B7A" w14:textId="4D1E9C06" w:rsidR="00D2414E" w:rsidRDefault="00D2414E" w:rsidP="00033889">
      <w:pPr>
        <w:spacing w:line="240" w:lineRule="auto"/>
        <w:rPr>
          <w:rFonts w:ascii="Times New Roman" w:hAnsi="Times New Roman" w:cs="Times New Roman"/>
          <w:sz w:val="24"/>
          <w:szCs w:val="24"/>
        </w:rPr>
      </w:pPr>
    </w:p>
    <w:p w14:paraId="2A5470D1" w14:textId="0478C537" w:rsidR="00D2414E" w:rsidRDefault="00D2414E" w:rsidP="00033889">
      <w:pPr>
        <w:spacing w:line="240" w:lineRule="auto"/>
        <w:rPr>
          <w:rFonts w:ascii="Times New Roman" w:hAnsi="Times New Roman" w:cs="Times New Roman"/>
          <w:sz w:val="24"/>
          <w:szCs w:val="24"/>
        </w:rPr>
      </w:pPr>
    </w:p>
    <w:p w14:paraId="283286CE" w14:textId="356A4CAD" w:rsidR="00D2414E" w:rsidRDefault="00D2414E" w:rsidP="00033889">
      <w:pPr>
        <w:spacing w:line="240" w:lineRule="auto"/>
        <w:rPr>
          <w:rFonts w:ascii="Times New Roman" w:hAnsi="Times New Roman" w:cs="Times New Roman"/>
          <w:sz w:val="24"/>
          <w:szCs w:val="24"/>
        </w:rPr>
      </w:pPr>
    </w:p>
    <w:p w14:paraId="4A0C5965" w14:textId="77777777" w:rsidR="00D2414E" w:rsidRDefault="00D2414E"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4C8C1A23" w:rsidR="00033889" w:rsidRPr="00E85E32"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9"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033889" w:rsidRPr="00E85E32" w:rsidSect="0005510C">
      <w:pgSz w:w="11906" w:h="16838"/>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B604" w14:textId="77777777" w:rsidR="0011588A" w:rsidRDefault="0011588A" w:rsidP="003F66F2">
      <w:pPr>
        <w:spacing w:after="0" w:line="240" w:lineRule="auto"/>
      </w:pPr>
      <w:r>
        <w:separator/>
      </w:r>
    </w:p>
  </w:endnote>
  <w:endnote w:type="continuationSeparator" w:id="0">
    <w:p w14:paraId="75688709" w14:textId="77777777" w:rsidR="0011588A" w:rsidRDefault="0011588A" w:rsidP="003F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0E84" w14:textId="77777777" w:rsidR="0011588A" w:rsidRDefault="0011588A" w:rsidP="003F66F2">
      <w:pPr>
        <w:spacing w:after="0" w:line="240" w:lineRule="auto"/>
      </w:pPr>
      <w:r>
        <w:separator/>
      </w:r>
    </w:p>
  </w:footnote>
  <w:footnote w:type="continuationSeparator" w:id="0">
    <w:p w14:paraId="026D1E19" w14:textId="77777777" w:rsidR="0011588A" w:rsidRDefault="0011588A" w:rsidP="003F66F2">
      <w:pPr>
        <w:spacing w:after="0" w:line="240" w:lineRule="auto"/>
      </w:pPr>
      <w:r>
        <w:continuationSeparator/>
      </w:r>
    </w:p>
  </w:footnote>
  <w:footnote w:id="1">
    <w:p w14:paraId="247F0B19" w14:textId="44E5DC26" w:rsidR="003F66F2" w:rsidRDefault="003F66F2">
      <w:pPr>
        <w:pStyle w:val="FootnoteText"/>
      </w:pPr>
      <w:r>
        <w:rPr>
          <w:rStyle w:val="FootnoteReference"/>
        </w:rPr>
        <w:footnoteRef/>
      </w:r>
      <w:r>
        <w:t xml:space="preserve"> </w:t>
      </w:r>
      <w:hyperlink r:id="rId1" w:history="1">
        <w:r w:rsidRPr="008448C8">
          <w:rPr>
            <w:rStyle w:val="Hyperlink"/>
          </w:rPr>
          <w:t>https://enmin.lrv.lt/lt/naujienos/2020-metais-nauja-paslauga-elektros-rinkoje-elektros-energijos-paklausos-ir-gamybos-telkimas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03896"/>
    <w:multiLevelType w:val="hybridMultilevel"/>
    <w:tmpl w:val="88489A58"/>
    <w:lvl w:ilvl="0" w:tplc="AFB0655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B0904"/>
    <w:rsid w:val="000E65F0"/>
    <w:rsid w:val="0011588A"/>
    <w:rsid w:val="0013641A"/>
    <w:rsid w:val="001528B1"/>
    <w:rsid w:val="001E2A47"/>
    <w:rsid w:val="001E3FD9"/>
    <w:rsid w:val="00260E6D"/>
    <w:rsid w:val="00282007"/>
    <w:rsid w:val="003428DA"/>
    <w:rsid w:val="00350FC9"/>
    <w:rsid w:val="003B7217"/>
    <w:rsid w:val="003F66F2"/>
    <w:rsid w:val="00476F50"/>
    <w:rsid w:val="00477229"/>
    <w:rsid w:val="00494B48"/>
    <w:rsid w:val="004C4D63"/>
    <w:rsid w:val="004D5F63"/>
    <w:rsid w:val="00564C00"/>
    <w:rsid w:val="00574E9C"/>
    <w:rsid w:val="0057673E"/>
    <w:rsid w:val="005A234D"/>
    <w:rsid w:val="005B34F5"/>
    <w:rsid w:val="005C03EC"/>
    <w:rsid w:val="00602AC9"/>
    <w:rsid w:val="00616C69"/>
    <w:rsid w:val="00635E9C"/>
    <w:rsid w:val="0071246A"/>
    <w:rsid w:val="0072458D"/>
    <w:rsid w:val="00743220"/>
    <w:rsid w:val="00773F09"/>
    <w:rsid w:val="00776BE5"/>
    <w:rsid w:val="00792361"/>
    <w:rsid w:val="00881151"/>
    <w:rsid w:val="008A2DF2"/>
    <w:rsid w:val="0092382C"/>
    <w:rsid w:val="00926858"/>
    <w:rsid w:val="00991F61"/>
    <w:rsid w:val="009B07B7"/>
    <w:rsid w:val="009B1ADB"/>
    <w:rsid w:val="009D57F7"/>
    <w:rsid w:val="00A5378F"/>
    <w:rsid w:val="00A575B5"/>
    <w:rsid w:val="00AA4291"/>
    <w:rsid w:val="00AC5FD1"/>
    <w:rsid w:val="00AF4A4D"/>
    <w:rsid w:val="00B1609A"/>
    <w:rsid w:val="00C123E9"/>
    <w:rsid w:val="00C42685"/>
    <w:rsid w:val="00C74048"/>
    <w:rsid w:val="00CD0C99"/>
    <w:rsid w:val="00CF76FE"/>
    <w:rsid w:val="00D2414E"/>
    <w:rsid w:val="00D718B2"/>
    <w:rsid w:val="00D837B3"/>
    <w:rsid w:val="00DE6B4E"/>
    <w:rsid w:val="00DF1FE7"/>
    <w:rsid w:val="00E04576"/>
    <w:rsid w:val="00E71083"/>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paragraph" w:styleId="FootnoteText">
    <w:name w:val="footnote text"/>
    <w:basedOn w:val="Normal"/>
    <w:link w:val="FootnoteTextChar"/>
    <w:uiPriority w:val="99"/>
    <w:semiHidden/>
    <w:unhideWhenUsed/>
    <w:rsid w:val="003F6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6F2"/>
    <w:rPr>
      <w:rFonts w:asciiTheme="minorHAnsi" w:hAnsiTheme="minorHAnsi"/>
      <w:sz w:val="20"/>
      <w:szCs w:val="20"/>
    </w:rPr>
  </w:style>
  <w:style w:type="character" w:styleId="FootnoteReference">
    <w:name w:val="footnote reference"/>
    <w:basedOn w:val="DefaultParagraphFont"/>
    <w:uiPriority w:val="99"/>
    <w:semiHidden/>
    <w:unhideWhenUsed/>
    <w:rsid w:val="003F66F2"/>
    <w:rPr>
      <w:vertAlign w:val="superscript"/>
    </w:rPr>
  </w:style>
  <w:style w:type="character" w:styleId="UnresolvedMention">
    <w:name w:val="Unresolved Mention"/>
    <w:basedOn w:val="DefaultParagraphFont"/>
    <w:uiPriority w:val="99"/>
    <w:semiHidden/>
    <w:unhideWhenUsed/>
    <w:rsid w:val="003F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7261">
      <w:bodyDiv w:val="1"/>
      <w:marLeft w:val="0"/>
      <w:marRight w:val="0"/>
      <w:marTop w:val="0"/>
      <w:marBottom w:val="0"/>
      <w:divBdr>
        <w:top w:val="none" w:sz="0" w:space="0" w:color="auto"/>
        <w:left w:val="none" w:sz="0" w:space="0" w:color="auto"/>
        <w:bottom w:val="none" w:sz="0" w:space="0" w:color="auto"/>
        <w:right w:val="none" w:sz="0" w:space="0" w:color="auto"/>
      </w:divBdr>
    </w:div>
    <w:div w:id="112604757">
      <w:bodyDiv w:val="1"/>
      <w:marLeft w:val="0"/>
      <w:marRight w:val="0"/>
      <w:marTop w:val="0"/>
      <w:marBottom w:val="0"/>
      <w:divBdr>
        <w:top w:val="none" w:sz="0" w:space="0" w:color="auto"/>
        <w:left w:val="none" w:sz="0" w:space="0" w:color="auto"/>
        <w:bottom w:val="none" w:sz="0" w:space="0" w:color="auto"/>
        <w:right w:val="none" w:sz="0" w:space="0" w:color="auto"/>
      </w:divBdr>
    </w:div>
    <w:div w:id="201863092">
      <w:bodyDiv w:val="1"/>
      <w:marLeft w:val="0"/>
      <w:marRight w:val="0"/>
      <w:marTop w:val="0"/>
      <w:marBottom w:val="0"/>
      <w:divBdr>
        <w:top w:val="none" w:sz="0" w:space="0" w:color="auto"/>
        <w:left w:val="none" w:sz="0" w:space="0" w:color="auto"/>
        <w:bottom w:val="none" w:sz="0" w:space="0" w:color="auto"/>
        <w:right w:val="none" w:sz="0" w:space="0" w:color="auto"/>
      </w:divBdr>
    </w:div>
    <w:div w:id="204410414">
      <w:bodyDiv w:val="1"/>
      <w:marLeft w:val="0"/>
      <w:marRight w:val="0"/>
      <w:marTop w:val="0"/>
      <w:marBottom w:val="0"/>
      <w:divBdr>
        <w:top w:val="none" w:sz="0" w:space="0" w:color="auto"/>
        <w:left w:val="none" w:sz="0" w:space="0" w:color="auto"/>
        <w:bottom w:val="none" w:sz="0" w:space="0" w:color="auto"/>
        <w:right w:val="none" w:sz="0" w:space="0" w:color="auto"/>
      </w:divBdr>
    </w:div>
    <w:div w:id="773862056">
      <w:bodyDiv w:val="1"/>
      <w:marLeft w:val="0"/>
      <w:marRight w:val="0"/>
      <w:marTop w:val="0"/>
      <w:marBottom w:val="0"/>
      <w:divBdr>
        <w:top w:val="none" w:sz="0" w:space="0" w:color="auto"/>
        <w:left w:val="none" w:sz="0" w:space="0" w:color="auto"/>
        <w:bottom w:val="none" w:sz="0" w:space="0" w:color="auto"/>
        <w:right w:val="none" w:sz="0" w:space="0" w:color="auto"/>
      </w:divBdr>
    </w:div>
    <w:div w:id="826477636">
      <w:bodyDiv w:val="1"/>
      <w:marLeft w:val="0"/>
      <w:marRight w:val="0"/>
      <w:marTop w:val="0"/>
      <w:marBottom w:val="0"/>
      <w:divBdr>
        <w:top w:val="none" w:sz="0" w:space="0" w:color="auto"/>
        <w:left w:val="none" w:sz="0" w:space="0" w:color="auto"/>
        <w:bottom w:val="none" w:sz="0" w:space="0" w:color="auto"/>
        <w:right w:val="none" w:sz="0" w:space="0" w:color="auto"/>
      </w:divBdr>
    </w:div>
    <w:div w:id="912860601">
      <w:bodyDiv w:val="1"/>
      <w:marLeft w:val="0"/>
      <w:marRight w:val="0"/>
      <w:marTop w:val="0"/>
      <w:marBottom w:val="0"/>
      <w:divBdr>
        <w:top w:val="none" w:sz="0" w:space="0" w:color="auto"/>
        <w:left w:val="none" w:sz="0" w:space="0" w:color="auto"/>
        <w:bottom w:val="none" w:sz="0" w:space="0" w:color="auto"/>
        <w:right w:val="none" w:sz="0" w:space="0" w:color="auto"/>
      </w:divBdr>
    </w:div>
    <w:div w:id="1175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min.lrv.lt/lt/naujienos/2020-metais-nauja-paslauga-elektros-rinkoje-elektros-energijos-paklausos-ir-gamybos-telk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4853</Words>
  <Characters>2767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3</cp:revision>
  <dcterms:created xsi:type="dcterms:W3CDTF">2020-12-30T06:53:00Z</dcterms:created>
  <dcterms:modified xsi:type="dcterms:W3CDTF">2020-12-30T06:55:00Z</dcterms:modified>
</cp:coreProperties>
</file>