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0" w:type="dxa"/>
        </w:tblCellMar>
        <w:tblLook w:val="04A0" w:firstRow="1" w:lastRow="0" w:firstColumn="1" w:lastColumn="0" w:noHBand="0" w:noVBand="1"/>
      </w:tblPr>
      <w:tblGrid>
        <w:gridCol w:w="4395"/>
        <w:gridCol w:w="1984"/>
        <w:gridCol w:w="3260"/>
      </w:tblGrid>
      <w:tr w:rsidR="00723626" w:rsidRPr="00AF5F64" w14:paraId="5FCDAF5C" w14:textId="77777777" w:rsidTr="002223E8">
        <w:tc>
          <w:tcPr>
            <w:tcW w:w="4395" w:type="dxa"/>
          </w:tcPr>
          <w:p w14:paraId="32A1C2BF" w14:textId="3CD82386" w:rsidR="00723626" w:rsidRPr="00AF5F64" w:rsidRDefault="00723626" w:rsidP="00D200FB">
            <w:pPr>
              <w:jc w:val="both"/>
              <w:rPr>
                <w:rFonts w:ascii="Times New Roman" w:hAnsi="Times New Roman" w:cs="Times New Roman"/>
                <w:sz w:val="24"/>
                <w:szCs w:val="24"/>
              </w:rPr>
            </w:pPr>
            <w:r w:rsidRPr="00AF5F64">
              <w:rPr>
                <w:rFonts w:ascii="Times New Roman" w:hAnsi="Times New Roman" w:cs="Times New Roman"/>
                <w:noProof/>
                <w:sz w:val="24"/>
                <w:szCs w:val="24"/>
              </w:rPr>
              <w:drawing>
                <wp:inline distT="0" distB="0" distL="0" distR="0" wp14:anchorId="19376154" wp14:editId="7B2756F4">
                  <wp:extent cx="2237162"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097" cy="667923"/>
                          </a:xfrm>
                          <a:prstGeom prst="rect">
                            <a:avLst/>
                          </a:prstGeom>
                          <a:noFill/>
                        </pic:spPr>
                      </pic:pic>
                    </a:graphicData>
                  </a:graphic>
                </wp:inline>
              </w:drawing>
            </w:r>
          </w:p>
          <w:p w14:paraId="520D035B" w14:textId="746ECC67" w:rsidR="00723626" w:rsidRPr="00AF5F64" w:rsidRDefault="00723626" w:rsidP="001C3339">
            <w:pPr>
              <w:pStyle w:val="Footer"/>
              <w:spacing w:line="276" w:lineRule="auto"/>
              <w:rPr>
                <w:rFonts w:ascii="Gotham Book" w:hAnsi="Gotham Book" w:cs="Gotham Pro Regular"/>
                <w:color w:val="585858"/>
                <w:sz w:val="16"/>
                <w:szCs w:val="16"/>
              </w:rPr>
            </w:pPr>
          </w:p>
        </w:tc>
        <w:tc>
          <w:tcPr>
            <w:tcW w:w="1984" w:type="dxa"/>
            <w:tcBorders>
              <w:right w:val="single" w:sz="4" w:space="0" w:color="00B050"/>
            </w:tcBorders>
          </w:tcPr>
          <w:p w14:paraId="58469818" w14:textId="77777777" w:rsidR="00723626" w:rsidRPr="00AF5F64" w:rsidRDefault="00723626" w:rsidP="001C3339">
            <w:pPr>
              <w:pStyle w:val="Footer"/>
              <w:spacing w:line="276" w:lineRule="auto"/>
              <w:rPr>
                <w:rFonts w:ascii="Gotham Book" w:hAnsi="Gotham Book" w:cs="Gotham Pro Regular"/>
                <w:color w:val="585858"/>
                <w:sz w:val="16"/>
                <w:szCs w:val="16"/>
              </w:rPr>
            </w:pPr>
            <w:r w:rsidRPr="00AF5F64">
              <w:rPr>
                <w:rFonts w:ascii="Gotham Book" w:hAnsi="Gotham Book" w:cs="Gotham Pro Regular"/>
                <w:color w:val="585858"/>
                <w:sz w:val="16"/>
                <w:szCs w:val="16"/>
              </w:rPr>
              <w:t>V. Gerulai</w:t>
            </w:r>
            <w:r w:rsidRPr="00AF5F64">
              <w:rPr>
                <w:rFonts w:ascii="Gotham Book" w:eastAsia="Calibri" w:hAnsi="Gotham Book" w:cs="Calibri"/>
                <w:color w:val="585858"/>
                <w:sz w:val="16"/>
                <w:szCs w:val="16"/>
              </w:rPr>
              <w:t>č</w:t>
            </w:r>
            <w:r w:rsidRPr="00AF5F64">
              <w:rPr>
                <w:rFonts w:ascii="Gotham Book" w:hAnsi="Gotham Book" w:cs="Gotham Pro Regular"/>
                <w:color w:val="585858"/>
                <w:sz w:val="16"/>
                <w:szCs w:val="16"/>
              </w:rPr>
              <w:t>io g. 1</w:t>
            </w:r>
          </w:p>
          <w:p w14:paraId="2745A8FC" w14:textId="77777777" w:rsidR="00723626" w:rsidRPr="00AF5F64" w:rsidRDefault="00723626" w:rsidP="001C3339">
            <w:pPr>
              <w:pStyle w:val="Footer"/>
              <w:spacing w:line="276" w:lineRule="auto"/>
              <w:rPr>
                <w:rFonts w:ascii="Gotham Book" w:hAnsi="Gotham Book" w:cs="Gotham Pro Regular"/>
                <w:color w:val="585858"/>
                <w:sz w:val="16"/>
                <w:szCs w:val="16"/>
              </w:rPr>
            </w:pPr>
            <w:r w:rsidRPr="00AF5F64">
              <w:rPr>
                <w:rFonts w:ascii="Gotham Book" w:hAnsi="Gotham Book" w:cs="Gotham Pro Regular"/>
                <w:color w:val="585858"/>
                <w:sz w:val="16"/>
                <w:szCs w:val="16"/>
              </w:rPr>
              <w:t>LT-08200 Vilnius</w:t>
            </w:r>
          </w:p>
          <w:p w14:paraId="3670A456" w14:textId="77777777" w:rsidR="00723626" w:rsidRPr="00AF5F64" w:rsidRDefault="00723626" w:rsidP="001C3339">
            <w:pPr>
              <w:pStyle w:val="Footer"/>
              <w:spacing w:line="276" w:lineRule="auto"/>
              <w:rPr>
                <w:rFonts w:ascii="Gotham Book" w:hAnsi="Gotham Book" w:cs="Gotham Pro Regular"/>
                <w:color w:val="585858"/>
                <w:sz w:val="16"/>
                <w:szCs w:val="16"/>
              </w:rPr>
            </w:pPr>
            <w:r w:rsidRPr="00AF5F64">
              <w:rPr>
                <w:rFonts w:ascii="Gotham Book" w:hAnsi="Gotham Book" w:cs="Gotham Pro Regular"/>
                <w:color w:val="585858"/>
                <w:sz w:val="16"/>
                <w:szCs w:val="16"/>
              </w:rPr>
              <w:t>Tel. (8-5) 2667025</w:t>
            </w:r>
          </w:p>
          <w:p w14:paraId="5F4076A9" w14:textId="77777777" w:rsidR="00723626" w:rsidRPr="00AF5F64" w:rsidRDefault="00723626" w:rsidP="001C3339">
            <w:pPr>
              <w:pStyle w:val="Footer"/>
              <w:spacing w:line="276" w:lineRule="auto"/>
              <w:rPr>
                <w:rFonts w:ascii="Gotham Book" w:hAnsi="Gotham Book" w:cs="Gotham Pro Regular"/>
                <w:color w:val="585858"/>
                <w:sz w:val="16"/>
                <w:szCs w:val="16"/>
              </w:rPr>
            </w:pPr>
            <w:r w:rsidRPr="00AF5F64">
              <w:rPr>
                <w:rFonts w:ascii="Gotham Book" w:hAnsi="Gotham Book" w:cs="Gotham Pro Regular"/>
                <w:color w:val="585858"/>
                <w:sz w:val="16"/>
                <w:szCs w:val="16"/>
              </w:rPr>
              <w:t>Faks. (8-5) 2356044</w:t>
            </w:r>
          </w:p>
          <w:p w14:paraId="1A5D5A73" w14:textId="471527A2" w:rsidR="00723626" w:rsidRPr="00AF5F64" w:rsidRDefault="00723626" w:rsidP="001C3339">
            <w:pPr>
              <w:pStyle w:val="Footer"/>
              <w:spacing w:line="276" w:lineRule="auto"/>
              <w:rPr>
                <w:rFonts w:ascii="Gotham Book" w:hAnsi="Gotham Book" w:cs="Arial"/>
                <w:color w:val="404040" w:themeColor="text1" w:themeTint="BF"/>
                <w:sz w:val="13"/>
                <w:szCs w:val="13"/>
              </w:rPr>
            </w:pPr>
            <w:proofErr w:type="spellStart"/>
            <w:r w:rsidRPr="00AF5F64">
              <w:rPr>
                <w:rFonts w:ascii="Gotham Book" w:hAnsi="Gotham Book" w:cs="Gotham Pro Regular"/>
                <w:color w:val="585858"/>
                <w:sz w:val="16"/>
                <w:szCs w:val="16"/>
              </w:rPr>
              <w:t>info@lsta.lt</w:t>
            </w:r>
            <w:proofErr w:type="spellEnd"/>
            <w:r w:rsidRPr="00AF5F64">
              <w:rPr>
                <w:rFonts w:ascii="Gotham Book" w:hAnsi="Gotham Book" w:cs="Gotham Pro Regular"/>
                <w:color w:val="585858"/>
                <w:sz w:val="16"/>
                <w:szCs w:val="16"/>
              </w:rPr>
              <w:t>, www.lsta.lt</w:t>
            </w:r>
          </w:p>
        </w:tc>
        <w:tc>
          <w:tcPr>
            <w:tcW w:w="3260" w:type="dxa"/>
            <w:tcBorders>
              <w:left w:val="single" w:sz="4" w:space="0" w:color="00B050"/>
            </w:tcBorders>
          </w:tcPr>
          <w:p w14:paraId="0A63B423" w14:textId="77777777" w:rsidR="00723626" w:rsidRPr="00AF5F64" w:rsidRDefault="00723626" w:rsidP="001C3339">
            <w:pPr>
              <w:pStyle w:val="Footer"/>
              <w:rPr>
                <w:rFonts w:ascii="Gotham Book" w:hAnsi="Gotham Book" w:cs="Gotham Pro Regular"/>
                <w:color w:val="585858"/>
                <w:sz w:val="16"/>
                <w:szCs w:val="16"/>
              </w:rPr>
            </w:pPr>
            <w:r w:rsidRPr="00AF5F64">
              <w:rPr>
                <w:rFonts w:ascii="Gotham Book" w:hAnsi="Gotham Book" w:cs="Gotham Pro Regular"/>
                <w:color w:val="585858"/>
                <w:sz w:val="16"/>
                <w:szCs w:val="16"/>
              </w:rPr>
              <w:t>Juridini</w:t>
            </w:r>
            <w:r w:rsidRPr="00AF5F64">
              <w:rPr>
                <w:rFonts w:ascii="Gotham Book" w:eastAsia="Calibri" w:hAnsi="Gotham Book" w:cs="Calibri"/>
                <w:color w:val="585858"/>
                <w:sz w:val="16"/>
                <w:szCs w:val="16"/>
              </w:rPr>
              <w:t>ų</w:t>
            </w:r>
            <w:r w:rsidRPr="00AF5F64">
              <w:rPr>
                <w:rFonts w:ascii="Gotham Book" w:hAnsi="Gotham Book" w:cs="Gotham Pro Regular"/>
                <w:color w:val="585858"/>
                <w:sz w:val="16"/>
                <w:szCs w:val="16"/>
              </w:rPr>
              <w:t xml:space="preserve"> asmen</w:t>
            </w:r>
            <w:r w:rsidRPr="00AF5F64">
              <w:rPr>
                <w:rFonts w:ascii="Gotham Book" w:eastAsia="Calibri" w:hAnsi="Gotham Book" w:cs="Calibri"/>
                <w:color w:val="585858"/>
                <w:sz w:val="16"/>
                <w:szCs w:val="16"/>
              </w:rPr>
              <w:t>ų</w:t>
            </w:r>
            <w:r w:rsidRPr="00AF5F64">
              <w:rPr>
                <w:rFonts w:ascii="Gotham Book" w:hAnsi="Gotham Book" w:cs="Gotham Pro Regular"/>
                <w:color w:val="585858"/>
                <w:sz w:val="16"/>
                <w:szCs w:val="16"/>
              </w:rPr>
              <w:t xml:space="preserve"> registras</w:t>
            </w:r>
          </w:p>
          <w:p w14:paraId="2DEA625C" w14:textId="11789416" w:rsidR="00723626" w:rsidRPr="00AF5F64" w:rsidRDefault="00723626" w:rsidP="001C3339">
            <w:pPr>
              <w:pStyle w:val="Footer"/>
              <w:rPr>
                <w:rFonts w:ascii="Gotham Book" w:hAnsi="Gotham Book" w:cs="Gotham Pro Regular"/>
                <w:color w:val="585858"/>
                <w:sz w:val="16"/>
                <w:szCs w:val="16"/>
              </w:rPr>
            </w:pPr>
            <w:r w:rsidRPr="00AF5F64">
              <w:rPr>
                <w:rFonts w:ascii="Gotham Book" w:hAnsi="Gotham Book" w:cs="Gotham Pro Regular"/>
                <w:color w:val="585858"/>
                <w:sz w:val="16"/>
                <w:szCs w:val="16"/>
              </w:rPr>
              <w:t>V</w:t>
            </w:r>
            <w:r w:rsidRPr="00AF5F64">
              <w:rPr>
                <w:rFonts w:ascii="Gotham Book" w:eastAsia="Calibri" w:hAnsi="Gotham Book" w:cs="Calibri"/>
                <w:color w:val="585858"/>
                <w:sz w:val="16"/>
                <w:szCs w:val="16"/>
              </w:rPr>
              <w:t>Į</w:t>
            </w:r>
            <w:r w:rsidRPr="00AF5F64">
              <w:rPr>
                <w:rFonts w:ascii="Gotham Book" w:hAnsi="Gotham Book" w:cs="Gotham Pro Regular"/>
                <w:color w:val="585858"/>
                <w:sz w:val="16"/>
                <w:szCs w:val="16"/>
              </w:rPr>
              <w:t xml:space="preserve"> „Registr</w:t>
            </w:r>
            <w:r w:rsidRPr="00AF5F64">
              <w:rPr>
                <w:rFonts w:ascii="Gotham Book" w:eastAsia="Calibri" w:hAnsi="Gotham Book" w:cs="Calibri"/>
                <w:color w:val="585858"/>
                <w:sz w:val="16"/>
                <w:szCs w:val="16"/>
              </w:rPr>
              <w:t>ų</w:t>
            </w:r>
            <w:r w:rsidRPr="00AF5F64">
              <w:rPr>
                <w:rFonts w:ascii="Gotham Book" w:hAnsi="Gotham Book" w:cs="Gotham Pro Regular"/>
                <w:color w:val="585858"/>
                <w:sz w:val="16"/>
                <w:szCs w:val="16"/>
              </w:rPr>
              <w:t xml:space="preserve"> centras“ Vilniaus filialas</w:t>
            </w:r>
          </w:p>
          <w:p w14:paraId="479EAC30" w14:textId="59D5D779" w:rsidR="00723626" w:rsidRPr="00AF5F64" w:rsidRDefault="00723626" w:rsidP="00723626">
            <w:pPr>
              <w:pStyle w:val="Footer"/>
              <w:spacing w:line="276" w:lineRule="auto"/>
              <w:rPr>
                <w:rFonts w:ascii="Gotham Book" w:hAnsi="Gotham Book" w:cs="Gotham Pro Regular"/>
                <w:color w:val="585858"/>
                <w:sz w:val="16"/>
                <w:szCs w:val="16"/>
              </w:rPr>
            </w:pPr>
            <w:r w:rsidRPr="00AF5F64">
              <w:rPr>
                <w:rFonts w:ascii="Gotham Book" w:eastAsia="Calibri" w:hAnsi="Gotham Book" w:cs="Calibri"/>
                <w:color w:val="585858"/>
                <w:sz w:val="16"/>
                <w:szCs w:val="16"/>
              </w:rPr>
              <w:t>Į</w:t>
            </w:r>
            <w:r w:rsidRPr="00AF5F64">
              <w:rPr>
                <w:rFonts w:ascii="Gotham Book" w:hAnsi="Gotham Book" w:cs="Gotham Pro Regular"/>
                <w:color w:val="585858"/>
                <w:sz w:val="16"/>
                <w:szCs w:val="16"/>
              </w:rPr>
              <w:t>mon</w:t>
            </w:r>
            <w:r w:rsidRPr="00AF5F64">
              <w:rPr>
                <w:rFonts w:ascii="Gotham Book" w:eastAsia="Calibri" w:hAnsi="Gotham Book" w:cs="Calibri"/>
                <w:color w:val="585858"/>
                <w:sz w:val="16"/>
                <w:szCs w:val="16"/>
              </w:rPr>
              <w:t>ė</w:t>
            </w:r>
            <w:r w:rsidRPr="00AF5F64">
              <w:rPr>
                <w:rFonts w:ascii="Gotham Book" w:hAnsi="Gotham Book" w:cs="Gotham Pro Regular"/>
                <w:color w:val="585858"/>
                <w:sz w:val="16"/>
                <w:szCs w:val="16"/>
              </w:rPr>
              <w:t xml:space="preserve">s kodas 124361985 </w:t>
            </w:r>
            <w:r w:rsidRPr="00AF5F64">
              <w:rPr>
                <w:rFonts w:ascii="Gotham Book" w:hAnsi="Gotham Book" w:cs="Gotham Pro Regular"/>
                <w:color w:val="585858"/>
                <w:sz w:val="16"/>
                <w:szCs w:val="16"/>
              </w:rPr>
              <w:br/>
              <w:t>Atsiskaitomoji s</w:t>
            </w:r>
            <w:r w:rsidRPr="00AF5F64">
              <w:rPr>
                <w:rFonts w:ascii="Gotham Book" w:eastAsia="Calibri" w:hAnsi="Gotham Book" w:cs="Calibri"/>
                <w:color w:val="585858"/>
                <w:sz w:val="16"/>
                <w:szCs w:val="16"/>
              </w:rPr>
              <w:t>ą</w:t>
            </w:r>
            <w:r w:rsidRPr="00AF5F64">
              <w:rPr>
                <w:rFonts w:ascii="Gotham Book" w:hAnsi="Gotham Book" w:cs="Gotham Pro Regular"/>
                <w:color w:val="585858"/>
                <w:sz w:val="16"/>
                <w:szCs w:val="16"/>
              </w:rPr>
              <w:t xml:space="preserve">skaita </w:t>
            </w:r>
          </w:p>
          <w:p w14:paraId="13CC1CF8" w14:textId="61F30EE6" w:rsidR="00723626" w:rsidRPr="00AF5F64" w:rsidRDefault="00723626" w:rsidP="00723626">
            <w:pPr>
              <w:pStyle w:val="Footer"/>
              <w:spacing w:line="276" w:lineRule="auto"/>
              <w:rPr>
                <w:rFonts w:ascii="Gotham Book" w:hAnsi="Gotham Book" w:cs="Gotham Pro Regular"/>
                <w:color w:val="585858"/>
                <w:sz w:val="16"/>
                <w:szCs w:val="16"/>
              </w:rPr>
            </w:pPr>
            <w:r w:rsidRPr="00AF5F64">
              <w:rPr>
                <w:rFonts w:ascii="Gotham Book" w:hAnsi="Gotham Book" w:cs="Gotham Pro Regular"/>
                <w:color w:val="585858"/>
                <w:sz w:val="16"/>
                <w:szCs w:val="16"/>
              </w:rPr>
              <w:t>LT27 7044 0600 0125 7217 AB SEB bankas</w:t>
            </w:r>
          </w:p>
        </w:tc>
      </w:tr>
    </w:tbl>
    <w:tbl>
      <w:tblPr>
        <w:tblpPr w:leftFromText="180" w:rightFromText="180" w:vertAnchor="text" w:horzAnchor="margin" w:tblpY="339"/>
        <w:tblW w:w="9639" w:type="dxa"/>
        <w:tblLayout w:type="fixed"/>
        <w:tblCellMar>
          <w:left w:w="14" w:type="dxa"/>
          <w:right w:w="14" w:type="dxa"/>
        </w:tblCellMar>
        <w:tblLook w:val="0000" w:firstRow="0" w:lastRow="0" w:firstColumn="0" w:lastColumn="0" w:noHBand="0" w:noVBand="0"/>
      </w:tblPr>
      <w:tblGrid>
        <w:gridCol w:w="5537"/>
        <w:gridCol w:w="283"/>
        <w:gridCol w:w="1418"/>
        <w:gridCol w:w="2401"/>
      </w:tblGrid>
      <w:tr w:rsidR="00723626" w:rsidRPr="00AF5F64" w14:paraId="094BDE85" w14:textId="77777777" w:rsidTr="002223E8">
        <w:trPr>
          <w:cantSplit/>
        </w:trPr>
        <w:tc>
          <w:tcPr>
            <w:tcW w:w="5537" w:type="dxa"/>
            <w:vMerge w:val="restart"/>
          </w:tcPr>
          <w:p w14:paraId="4182D62E" w14:textId="1E6EB331" w:rsidR="00C048CE" w:rsidRPr="00745C96" w:rsidRDefault="00723626" w:rsidP="00723626">
            <w:pPr>
              <w:spacing w:after="0" w:line="240" w:lineRule="auto"/>
              <w:jc w:val="both"/>
              <w:rPr>
                <w:rFonts w:ascii="Times New Roman" w:hAnsi="Times New Roman" w:cs="Times New Roman"/>
                <w:bCs/>
                <w:sz w:val="24"/>
                <w:szCs w:val="24"/>
              </w:rPr>
            </w:pPr>
            <w:r w:rsidRPr="00745C96">
              <w:rPr>
                <w:rFonts w:ascii="Times New Roman" w:hAnsi="Times New Roman" w:cs="Times New Roman"/>
                <w:bCs/>
                <w:sz w:val="24"/>
                <w:szCs w:val="24"/>
              </w:rPr>
              <w:t>L</w:t>
            </w:r>
            <w:r w:rsidR="00C048CE" w:rsidRPr="00745C96">
              <w:rPr>
                <w:rFonts w:ascii="Times New Roman" w:hAnsi="Times New Roman" w:cs="Times New Roman"/>
                <w:bCs/>
                <w:sz w:val="24"/>
                <w:szCs w:val="24"/>
              </w:rPr>
              <w:t>ietuvos Respublikos</w:t>
            </w:r>
            <w:r w:rsidRPr="00745C96">
              <w:rPr>
                <w:rFonts w:ascii="Times New Roman" w:hAnsi="Times New Roman" w:cs="Times New Roman"/>
                <w:bCs/>
                <w:sz w:val="24"/>
                <w:szCs w:val="24"/>
              </w:rPr>
              <w:t xml:space="preserve"> </w:t>
            </w:r>
            <w:r w:rsidR="00C95345" w:rsidRPr="00745C96">
              <w:rPr>
                <w:rFonts w:ascii="Times New Roman" w:hAnsi="Times New Roman" w:cs="Times New Roman"/>
                <w:bCs/>
                <w:sz w:val="24"/>
                <w:szCs w:val="24"/>
              </w:rPr>
              <w:t>aplinkos</w:t>
            </w:r>
            <w:r w:rsidR="00E001FA" w:rsidRPr="00745C96">
              <w:rPr>
                <w:rFonts w:ascii="Times New Roman" w:hAnsi="Times New Roman" w:cs="Times New Roman"/>
                <w:bCs/>
                <w:sz w:val="24"/>
                <w:szCs w:val="24"/>
              </w:rPr>
              <w:t xml:space="preserve"> </w:t>
            </w:r>
            <w:r w:rsidRPr="00745C96">
              <w:rPr>
                <w:rFonts w:ascii="Times New Roman" w:hAnsi="Times New Roman" w:cs="Times New Roman"/>
                <w:bCs/>
                <w:sz w:val="24"/>
                <w:szCs w:val="24"/>
              </w:rPr>
              <w:t>ministerijai</w:t>
            </w:r>
            <w:r w:rsidR="00C048CE" w:rsidRPr="00745C96">
              <w:rPr>
                <w:rFonts w:ascii="Times New Roman" w:hAnsi="Times New Roman" w:cs="Times New Roman"/>
                <w:bCs/>
                <w:sz w:val="24"/>
                <w:szCs w:val="24"/>
              </w:rPr>
              <w:t xml:space="preserve"> </w:t>
            </w:r>
          </w:p>
          <w:p w14:paraId="505AB545" w14:textId="4023E7E0" w:rsidR="00723626" w:rsidRPr="00EA00C9" w:rsidRDefault="00EA00C9" w:rsidP="0072362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br/>
            </w:r>
            <w:r w:rsidRPr="00EA00C9">
              <w:rPr>
                <w:rFonts w:ascii="Times New Roman" w:hAnsi="Times New Roman" w:cs="Times New Roman"/>
                <w:bCs/>
                <w:sz w:val="24"/>
                <w:szCs w:val="24"/>
              </w:rPr>
              <w:t xml:space="preserve">Kopija: </w:t>
            </w:r>
            <w:r w:rsidRPr="00EA00C9">
              <w:rPr>
                <w:rFonts w:ascii="Times New Roman" w:hAnsi="Times New Roman" w:cs="Times New Roman"/>
                <w:bCs/>
                <w:sz w:val="24"/>
                <w:szCs w:val="24"/>
              </w:rPr>
              <w:br/>
              <w:t>Lietuvos Respublikos energetikos ministerijai</w:t>
            </w:r>
          </w:p>
        </w:tc>
        <w:tc>
          <w:tcPr>
            <w:tcW w:w="283" w:type="dxa"/>
          </w:tcPr>
          <w:p w14:paraId="42E9071C" w14:textId="77777777" w:rsidR="00723626" w:rsidRPr="00AF5F64" w:rsidRDefault="00723626" w:rsidP="00723626">
            <w:pPr>
              <w:spacing w:after="0" w:line="240" w:lineRule="auto"/>
              <w:rPr>
                <w:rFonts w:ascii="Times New Roman" w:hAnsi="Times New Roman" w:cs="Times New Roman"/>
                <w:bCs/>
                <w:sz w:val="24"/>
                <w:szCs w:val="24"/>
              </w:rPr>
            </w:pPr>
          </w:p>
        </w:tc>
        <w:tc>
          <w:tcPr>
            <w:tcW w:w="1418" w:type="dxa"/>
          </w:tcPr>
          <w:p w14:paraId="00C29E5C" w14:textId="41C5DF7C" w:rsidR="00723626" w:rsidRPr="00AF5F64" w:rsidRDefault="00723626" w:rsidP="00723626">
            <w:pPr>
              <w:spacing w:after="0" w:line="240" w:lineRule="auto"/>
              <w:rPr>
                <w:rFonts w:ascii="Times New Roman" w:hAnsi="Times New Roman" w:cs="Times New Roman"/>
                <w:bCs/>
                <w:sz w:val="24"/>
                <w:szCs w:val="24"/>
              </w:rPr>
            </w:pPr>
            <w:r w:rsidRPr="00AF5F64">
              <w:rPr>
                <w:rFonts w:ascii="Times New Roman" w:hAnsi="Times New Roman" w:cs="Times New Roman"/>
                <w:bCs/>
                <w:sz w:val="24"/>
                <w:szCs w:val="24"/>
              </w:rPr>
              <w:t>20</w:t>
            </w:r>
            <w:r w:rsidR="00132EED">
              <w:rPr>
                <w:rFonts w:ascii="Times New Roman" w:hAnsi="Times New Roman" w:cs="Times New Roman"/>
                <w:bCs/>
                <w:sz w:val="24"/>
                <w:szCs w:val="24"/>
              </w:rPr>
              <w:t>20</w:t>
            </w:r>
            <w:r w:rsidRPr="00AF5F64">
              <w:rPr>
                <w:rFonts w:ascii="Times New Roman" w:hAnsi="Times New Roman" w:cs="Times New Roman"/>
                <w:bCs/>
                <w:sz w:val="24"/>
                <w:szCs w:val="24"/>
              </w:rPr>
              <w:t>-</w:t>
            </w:r>
            <w:r w:rsidR="00132EED">
              <w:rPr>
                <w:rFonts w:ascii="Times New Roman" w:hAnsi="Times New Roman" w:cs="Times New Roman"/>
                <w:bCs/>
                <w:sz w:val="24"/>
                <w:szCs w:val="24"/>
              </w:rPr>
              <w:t>11-03</w:t>
            </w:r>
          </w:p>
        </w:tc>
        <w:tc>
          <w:tcPr>
            <w:tcW w:w="2401" w:type="dxa"/>
          </w:tcPr>
          <w:p w14:paraId="4541D316" w14:textId="0E9E4382" w:rsidR="00723626" w:rsidRPr="00AF5F64" w:rsidRDefault="00723626" w:rsidP="00723626">
            <w:pPr>
              <w:spacing w:after="0" w:line="240" w:lineRule="auto"/>
              <w:rPr>
                <w:rFonts w:ascii="Times New Roman" w:hAnsi="Times New Roman" w:cs="Times New Roman"/>
                <w:bCs/>
                <w:sz w:val="24"/>
                <w:szCs w:val="24"/>
              </w:rPr>
            </w:pPr>
            <w:r w:rsidRPr="00AF5F64">
              <w:rPr>
                <w:rFonts w:ascii="Times New Roman" w:hAnsi="Times New Roman" w:cs="Times New Roman"/>
                <w:bCs/>
                <w:sz w:val="24"/>
                <w:szCs w:val="24"/>
              </w:rPr>
              <w:t>Nr.</w:t>
            </w:r>
            <w:r w:rsidR="00C66C0B">
              <w:rPr>
                <w:rFonts w:ascii="Times New Roman" w:hAnsi="Times New Roman" w:cs="Times New Roman"/>
                <w:bCs/>
                <w:sz w:val="24"/>
                <w:szCs w:val="24"/>
              </w:rPr>
              <w:t>119</w:t>
            </w:r>
          </w:p>
        </w:tc>
      </w:tr>
      <w:tr w:rsidR="00723626" w:rsidRPr="00AF5F64" w14:paraId="25216793" w14:textId="77777777" w:rsidTr="002223E8">
        <w:trPr>
          <w:cantSplit/>
        </w:trPr>
        <w:tc>
          <w:tcPr>
            <w:tcW w:w="5537" w:type="dxa"/>
            <w:vMerge/>
          </w:tcPr>
          <w:p w14:paraId="3EA445FF" w14:textId="77777777" w:rsidR="00723626" w:rsidRPr="00AF5F64" w:rsidRDefault="00723626" w:rsidP="00723626">
            <w:pPr>
              <w:spacing w:after="0" w:line="240" w:lineRule="auto"/>
              <w:rPr>
                <w:rFonts w:ascii="Times New Roman" w:hAnsi="Times New Roman" w:cs="Times New Roman"/>
                <w:sz w:val="24"/>
                <w:szCs w:val="24"/>
              </w:rPr>
            </w:pPr>
          </w:p>
        </w:tc>
        <w:tc>
          <w:tcPr>
            <w:tcW w:w="283" w:type="dxa"/>
          </w:tcPr>
          <w:p w14:paraId="3F1E0B86" w14:textId="77777777" w:rsidR="00723626" w:rsidRPr="00AF5F64" w:rsidRDefault="00723626" w:rsidP="00723626">
            <w:pPr>
              <w:pStyle w:val="Heading1"/>
              <w:rPr>
                <w:szCs w:val="24"/>
              </w:rPr>
            </w:pPr>
            <w:r w:rsidRPr="00AF5F64">
              <w:rPr>
                <w:szCs w:val="24"/>
              </w:rPr>
              <w:t>Į</w:t>
            </w:r>
          </w:p>
        </w:tc>
        <w:tc>
          <w:tcPr>
            <w:tcW w:w="1418" w:type="dxa"/>
          </w:tcPr>
          <w:p w14:paraId="7EACDCE2" w14:textId="5F1B600D" w:rsidR="00723626" w:rsidRPr="00AF5F64" w:rsidRDefault="00723626" w:rsidP="00723626">
            <w:pPr>
              <w:spacing w:after="0" w:line="240" w:lineRule="auto"/>
              <w:rPr>
                <w:rFonts w:ascii="Times New Roman" w:hAnsi="Times New Roman" w:cs="Times New Roman"/>
                <w:sz w:val="24"/>
                <w:szCs w:val="24"/>
              </w:rPr>
            </w:pPr>
          </w:p>
        </w:tc>
        <w:tc>
          <w:tcPr>
            <w:tcW w:w="2401" w:type="dxa"/>
          </w:tcPr>
          <w:p w14:paraId="48A2B5B3" w14:textId="7B4A1D52" w:rsidR="00723626" w:rsidRPr="00AF5F64" w:rsidRDefault="00723626" w:rsidP="00723626">
            <w:pPr>
              <w:pStyle w:val="Heading1"/>
              <w:rPr>
                <w:szCs w:val="24"/>
              </w:rPr>
            </w:pPr>
            <w:r w:rsidRPr="00AF5F64">
              <w:rPr>
                <w:szCs w:val="24"/>
              </w:rPr>
              <w:t>Nr.</w:t>
            </w:r>
          </w:p>
        </w:tc>
      </w:tr>
      <w:tr w:rsidR="00723626" w:rsidRPr="00AF5F64" w14:paraId="0EE215F4" w14:textId="77777777" w:rsidTr="002223E8">
        <w:trPr>
          <w:cantSplit/>
          <w:trHeight w:val="302"/>
        </w:trPr>
        <w:tc>
          <w:tcPr>
            <w:tcW w:w="5537" w:type="dxa"/>
          </w:tcPr>
          <w:p w14:paraId="0D8F3A30" w14:textId="0568E905" w:rsidR="00723626" w:rsidRPr="00AF5F64" w:rsidRDefault="00723626" w:rsidP="00E001FA">
            <w:pPr>
              <w:tabs>
                <w:tab w:val="left" w:pos="3513"/>
              </w:tabs>
              <w:spacing w:after="0" w:line="240" w:lineRule="auto"/>
              <w:rPr>
                <w:rFonts w:ascii="Times New Roman" w:hAnsi="Times New Roman" w:cs="Times New Roman"/>
                <w:sz w:val="24"/>
                <w:szCs w:val="24"/>
              </w:rPr>
            </w:pPr>
          </w:p>
        </w:tc>
        <w:tc>
          <w:tcPr>
            <w:tcW w:w="283" w:type="dxa"/>
          </w:tcPr>
          <w:p w14:paraId="4AB7F75D" w14:textId="77777777" w:rsidR="00723626" w:rsidRPr="00AF5F64" w:rsidRDefault="00723626" w:rsidP="00723626">
            <w:pPr>
              <w:spacing w:after="0" w:line="240" w:lineRule="auto"/>
              <w:rPr>
                <w:rFonts w:ascii="Times New Roman" w:hAnsi="Times New Roman" w:cs="Times New Roman"/>
                <w:sz w:val="24"/>
                <w:szCs w:val="24"/>
              </w:rPr>
            </w:pPr>
          </w:p>
        </w:tc>
        <w:tc>
          <w:tcPr>
            <w:tcW w:w="1418" w:type="dxa"/>
          </w:tcPr>
          <w:p w14:paraId="0E997FE8" w14:textId="77777777" w:rsidR="00723626" w:rsidRPr="00AF5F64" w:rsidRDefault="00723626" w:rsidP="00723626">
            <w:pPr>
              <w:spacing w:after="0" w:line="240" w:lineRule="auto"/>
              <w:rPr>
                <w:rFonts w:ascii="Times New Roman" w:hAnsi="Times New Roman" w:cs="Times New Roman"/>
                <w:sz w:val="24"/>
                <w:szCs w:val="24"/>
              </w:rPr>
            </w:pPr>
          </w:p>
        </w:tc>
        <w:tc>
          <w:tcPr>
            <w:tcW w:w="2401" w:type="dxa"/>
          </w:tcPr>
          <w:p w14:paraId="1353BF64" w14:textId="77777777" w:rsidR="00723626" w:rsidRPr="00AF5F64" w:rsidRDefault="00723626" w:rsidP="00723626">
            <w:pPr>
              <w:spacing w:after="0" w:line="240" w:lineRule="auto"/>
              <w:rPr>
                <w:rFonts w:ascii="Times New Roman" w:hAnsi="Times New Roman" w:cs="Times New Roman"/>
                <w:sz w:val="24"/>
                <w:szCs w:val="24"/>
              </w:rPr>
            </w:pPr>
          </w:p>
        </w:tc>
      </w:tr>
      <w:tr w:rsidR="00723626" w:rsidRPr="00AF5F64" w14:paraId="1276C607" w14:textId="77777777" w:rsidTr="002223E8">
        <w:trPr>
          <w:cantSplit/>
        </w:trPr>
        <w:tc>
          <w:tcPr>
            <w:tcW w:w="9639" w:type="dxa"/>
            <w:gridSpan w:val="4"/>
          </w:tcPr>
          <w:p w14:paraId="1270F514" w14:textId="29CCE968" w:rsidR="00723626" w:rsidRPr="00AF5F64" w:rsidRDefault="009C7211" w:rsidP="009C7211">
            <w:pPr>
              <w:spacing w:after="0" w:line="240" w:lineRule="auto"/>
              <w:jc w:val="both"/>
              <w:rPr>
                <w:rFonts w:ascii="Times New Roman" w:hAnsi="Times New Roman" w:cs="Times New Roman"/>
                <w:b/>
                <w:caps/>
                <w:sz w:val="24"/>
                <w:szCs w:val="24"/>
              </w:rPr>
            </w:pPr>
            <w:r w:rsidRPr="00AF5F64">
              <w:rPr>
                <w:rFonts w:ascii="Times New Roman" w:hAnsi="Times New Roman" w:cs="Times New Roman"/>
                <w:b/>
                <w:caps/>
                <w:sz w:val="24"/>
                <w:szCs w:val="24"/>
              </w:rPr>
              <w:t xml:space="preserve">DĖL </w:t>
            </w:r>
            <w:r w:rsidR="0079787E">
              <w:rPr>
                <w:rFonts w:ascii="Times New Roman" w:hAnsi="Times New Roman" w:cs="Times New Roman"/>
                <w:b/>
                <w:caps/>
                <w:sz w:val="24"/>
                <w:szCs w:val="24"/>
              </w:rPr>
              <w:t xml:space="preserve">PASTATų </w:t>
            </w:r>
            <w:r w:rsidR="004E7C80">
              <w:rPr>
                <w:rFonts w:ascii="Times New Roman" w:hAnsi="Times New Roman" w:cs="Times New Roman"/>
                <w:b/>
                <w:caps/>
                <w:sz w:val="24"/>
                <w:szCs w:val="24"/>
              </w:rPr>
              <w:t>ŠILUMOS PUNKTŲ IR Įrenginių FINANSAVIMO GALIMYBIŲ PRI</w:t>
            </w:r>
            <w:r w:rsidR="0079787E">
              <w:rPr>
                <w:rFonts w:ascii="Times New Roman" w:hAnsi="Times New Roman" w:cs="Times New Roman"/>
                <w:b/>
                <w:caps/>
                <w:sz w:val="24"/>
                <w:szCs w:val="24"/>
              </w:rPr>
              <w:t>SI</w:t>
            </w:r>
            <w:r w:rsidR="004E7C80">
              <w:rPr>
                <w:rFonts w:ascii="Times New Roman" w:hAnsi="Times New Roman" w:cs="Times New Roman"/>
                <w:b/>
                <w:caps/>
                <w:sz w:val="24"/>
                <w:szCs w:val="24"/>
              </w:rPr>
              <w:t>JUNGIANT PRIE CŠT SISTEMŲ</w:t>
            </w:r>
          </w:p>
        </w:tc>
      </w:tr>
    </w:tbl>
    <w:p w14:paraId="133D8B18" w14:textId="59A47763" w:rsidR="00D42D07" w:rsidRPr="00AF5F64" w:rsidRDefault="00D42D07" w:rsidP="00723626">
      <w:pPr>
        <w:jc w:val="both"/>
        <w:rPr>
          <w:rFonts w:ascii="Times New Roman" w:hAnsi="Times New Roman" w:cs="Times New Roman"/>
          <w:sz w:val="24"/>
          <w:szCs w:val="24"/>
        </w:rPr>
      </w:pPr>
    </w:p>
    <w:p w14:paraId="1B2AA6F6" w14:textId="5D10401B" w:rsidR="00E750FC" w:rsidRDefault="00E750FC" w:rsidP="002E1971">
      <w:pPr>
        <w:spacing w:after="0"/>
        <w:jc w:val="both"/>
        <w:rPr>
          <w:rFonts w:ascii="Times New Roman" w:hAnsi="Times New Roman" w:cs="Times New Roman"/>
          <w:sz w:val="24"/>
          <w:szCs w:val="24"/>
        </w:rPr>
      </w:pPr>
    </w:p>
    <w:p w14:paraId="537822CD" w14:textId="77777777" w:rsidR="00EF4AEE" w:rsidRPr="00AF5F64" w:rsidRDefault="00EF4AEE" w:rsidP="002E1971">
      <w:pPr>
        <w:spacing w:after="0"/>
        <w:jc w:val="both"/>
        <w:rPr>
          <w:rFonts w:ascii="Times New Roman" w:hAnsi="Times New Roman" w:cs="Times New Roman"/>
          <w:sz w:val="24"/>
          <w:szCs w:val="24"/>
        </w:rPr>
      </w:pPr>
    </w:p>
    <w:p w14:paraId="1E03C41D" w14:textId="76D80AA2" w:rsidR="003551C9" w:rsidRPr="00745C96" w:rsidRDefault="00AE00AD" w:rsidP="00DD1A59">
      <w:pPr>
        <w:spacing w:after="120" w:line="240" w:lineRule="auto"/>
        <w:ind w:firstLine="567"/>
        <w:jc w:val="both"/>
        <w:rPr>
          <w:rFonts w:ascii="Times New Roman" w:hAnsi="Times New Roman" w:cs="Times New Roman"/>
          <w:b/>
          <w:i/>
          <w:sz w:val="24"/>
          <w:szCs w:val="24"/>
        </w:rPr>
      </w:pPr>
      <w:r w:rsidRPr="00DD1A59">
        <w:rPr>
          <w:rFonts w:ascii="Times New Roman" w:eastAsia="Times New Roman" w:hAnsi="Times New Roman" w:cs="Times New Roman"/>
          <w:sz w:val="24"/>
          <w:szCs w:val="24"/>
        </w:rPr>
        <w:t>Centralizuotas šilumos tiekimas (</w:t>
      </w:r>
      <w:r w:rsidR="00420764">
        <w:rPr>
          <w:rFonts w:ascii="Times New Roman" w:eastAsia="Times New Roman" w:hAnsi="Times New Roman" w:cs="Times New Roman"/>
          <w:sz w:val="24"/>
          <w:szCs w:val="24"/>
        </w:rPr>
        <w:t>toliau-</w:t>
      </w:r>
      <w:r w:rsidRPr="00DD1A59">
        <w:rPr>
          <w:rFonts w:ascii="Times New Roman" w:eastAsia="Times New Roman" w:hAnsi="Times New Roman" w:cs="Times New Roman"/>
          <w:sz w:val="24"/>
          <w:szCs w:val="24"/>
        </w:rPr>
        <w:t>CŠT) yra pagrindinis Lietuvos daugiabučių gyvenamųjų ir negyvenamųjų pastatų aprūpinimo šilumine energija būdas, kurio veikla organizuojama savivaldybių ir prižiūrima valstybės</w:t>
      </w:r>
      <w:r w:rsidR="00A11365" w:rsidRPr="00DD1A59">
        <w:rPr>
          <w:rFonts w:ascii="Times New Roman" w:eastAsia="Times New Roman" w:hAnsi="Times New Roman" w:cs="Times New Roman"/>
          <w:sz w:val="24"/>
          <w:szCs w:val="24"/>
        </w:rPr>
        <w:t xml:space="preserve">. Šios strateginės infrastruktūros </w:t>
      </w:r>
      <w:r w:rsidRPr="00DD1A59">
        <w:rPr>
          <w:rFonts w:ascii="Times New Roman" w:eastAsia="Times New Roman" w:hAnsi="Times New Roman" w:cs="Times New Roman"/>
          <w:sz w:val="24"/>
          <w:szCs w:val="24"/>
        </w:rPr>
        <w:t xml:space="preserve">atnaujinimui ir plėtrai skiriama didelė parama, nes ši technologija </w:t>
      </w:r>
      <w:r w:rsidR="00A11365" w:rsidRPr="00DD1A59">
        <w:rPr>
          <w:rFonts w:ascii="Times New Roman" w:eastAsia="Times New Roman" w:hAnsi="Times New Roman" w:cs="Times New Roman"/>
          <w:sz w:val="24"/>
          <w:szCs w:val="24"/>
        </w:rPr>
        <w:t xml:space="preserve">ne tik tenkina būtiniausius visuomenės poreikius, bet ir </w:t>
      </w:r>
      <w:r w:rsidR="003551C9" w:rsidRPr="00DD1A59">
        <w:rPr>
          <w:rFonts w:ascii="Times New Roman" w:eastAsia="Times New Roman" w:hAnsi="Times New Roman" w:cs="Times New Roman"/>
          <w:sz w:val="24"/>
          <w:szCs w:val="24"/>
        </w:rPr>
        <w:t>garantuoja</w:t>
      </w:r>
      <w:r w:rsidR="00A11365" w:rsidRPr="00DD1A59">
        <w:rPr>
          <w:rFonts w:ascii="Times New Roman" w:eastAsia="Times New Roman" w:hAnsi="Times New Roman" w:cs="Times New Roman"/>
          <w:sz w:val="24"/>
          <w:szCs w:val="24"/>
        </w:rPr>
        <w:t xml:space="preserve"> </w:t>
      </w:r>
      <w:r w:rsidR="003551C9" w:rsidRPr="00DD1A59">
        <w:rPr>
          <w:rFonts w:ascii="Times New Roman" w:eastAsia="Times New Roman" w:hAnsi="Times New Roman" w:cs="Times New Roman"/>
          <w:sz w:val="24"/>
          <w:szCs w:val="24"/>
        </w:rPr>
        <w:t>miesto oro kokyb</w:t>
      </w:r>
      <w:r w:rsidR="00A11365" w:rsidRPr="00DD1A59">
        <w:rPr>
          <w:rFonts w:ascii="Times New Roman" w:eastAsia="Times New Roman" w:hAnsi="Times New Roman" w:cs="Times New Roman"/>
          <w:sz w:val="24"/>
          <w:szCs w:val="24"/>
        </w:rPr>
        <w:t xml:space="preserve">ę bei reikšmingai prisideda prie klimato kaitos problemų sprendimo. </w:t>
      </w:r>
      <w:r w:rsidRPr="00DD1A59">
        <w:rPr>
          <w:rFonts w:ascii="Times New Roman" w:eastAsia="Times New Roman" w:hAnsi="Times New Roman" w:cs="Times New Roman"/>
          <w:sz w:val="24"/>
          <w:szCs w:val="24"/>
        </w:rPr>
        <w:t xml:space="preserve">Todėl eilėje </w:t>
      </w:r>
      <w:proofErr w:type="spellStart"/>
      <w:r w:rsidR="003551C9" w:rsidRPr="00DD1A59">
        <w:rPr>
          <w:rFonts w:ascii="Times New Roman" w:eastAsia="Times New Roman" w:hAnsi="Times New Roman" w:cs="Times New Roman"/>
          <w:sz w:val="24"/>
          <w:szCs w:val="24"/>
          <w:lang w:val="en-US" w:eastAsia="lt-LT"/>
        </w:rPr>
        <w:t>strateginių</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dokumentų</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Nacionalinėje</w:t>
      </w:r>
      <w:proofErr w:type="spellEnd"/>
      <w:r w:rsidR="003551C9" w:rsidRPr="00DD1A59">
        <w:rPr>
          <w:rFonts w:ascii="Times New Roman" w:eastAsia="Times New Roman" w:hAnsi="Times New Roman" w:cs="Times New Roman"/>
          <w:sz w:val="24"/>
          <w:szCs w:val="24"/>
          <w:lang w:val="en-US" w:eastAsia="lt-LT"/>
        </w:rPr>
        <w:t xml:space="preserve"> energetikos </w:t>
      </w:r>
      <w:proofErr w:type="spellStart"/>
      <w:r w:rsidR="003551C9" w:rsidRPr="00DD1A59">
        <w:rPr>
          <w:rFonts w:ascii="Times New Roman" w:eastAsia="Times New Roman" w:hAnsi="Times New Roman" w:cs="Times New Roman"/>
          <w:sz w:val="24"/>
          <w:szCs w:val="24"/>
          <w:lang w:val="en-US" w:eastAsia="lt-LT"/>
        </w:rPr>
        <w:t>nepriklausomybės</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strategijoje</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Nacionaliniame</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oro</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taršos</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mažinimo</w:t>
      </w:r>
      <w:proofErr w:type="spellEnd"/>
      <w:r w:rsidR="003551C9" w:rsidRPr="00DD1A59">
        <w:rPr>
          <w:rFonts w:ascii="Times New Roman" w:eastAsia="Times New Roman" w:hAnsi="Times New Roman" w:cs="Times New Roman"/>
          <w:sz w:val="24"/>
          <w:szCs w:val="24"/>
          <w:lang w:val="en-US" w:eastAsia="lt-LT"/>
        </w:rPr>
        <w:t xml:space="preserve"> plane, </w:t>
      </w:r>
      <w:proofErr w:type="spellStart"/>
      <w:r w:rsidR="003551C9" w:rsidRPr="00DD1A59">
        <w:rPr>
          <w:rFonts w:ascii="Times New Roman" w:eastAsia="Times New Roman" w:hAnsi="Times New Roman" w:cs="Times New Roman"/>
          <w:sz w:val="24"/>
          <w:szCs w:val="24"/>
          <w:lang w:val="en-US" w:eastAsia="lt-LT"/>
        </w:rPr>
        <w:t>Nacionalinio</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integruoto</w:t>
      </w:r>
      <w:proofErr w:type="spellEnd"/>
      <w:r w:rsidR="003551C9" w:rsidRPr="00DD1A59">
        <w:rPr>
          <w:rFonts w:ascii="Times New Roman" w:eastAsia="Times New Roman" w:hAnsi="Times New Roman" w:cs="Times New Roman"/>
          <w:sz w:val="24"/>
          <w:szCs w:val="24"/>
          <w:lang w:val="en-US" w:eastAsia="lt-LT"/>
        </w:rPr>
        <w:t xml:space="preserve"> energetikos ir </w:t>
      </w:r>
      <w:proofErr w:type="spellStart"/>
      <w:r w:rsidR="003551C9" w:rsidRPr="00DD1A59">
        <w:rPr>
          <w:rFonts w:ascii="Times New Roman" w:eastAsia="Times New Roman" w:hAnsi="Times New Roman" w:cs="Times New Roman"/>
          <w:sz w:val="24"/>
          <w:szCs w:val="24"/>
          <w:lang w:val="en-US" w:eastAsia="lt-LT"/>
        </w:rPr>
        <w:t>klimato</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kaitos</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plano</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projekte</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numatyta</w:t>
      </w:r>
      <w:proofErr w:type="spellEnd"/>
      <w:r w:rsidR="003551C9" w:rsidRPr="00DD1A59">
        <w:rPr>
          <w:rFonts w:ascii="Times New Roman" w:eastAsia="Times New Roman" w:hAnsi="Times New Roman" w:cs="Times New Roman"/>
          <w:sz w:val="24"/>
          <w:szCs w:val="24"/>
          <w:lang w:val="en-US" w:eastAsia="lt-LT"/>
        </w:rPr>
        <w:t xml:space="preserve"> </w:t>
      </w:r>
      <w:proofErr w:type="spellStart"/>
      <w:r w:rsidR="00A11365" w:rsidRPr="00DD1A59">
        <w:rPr>
          <w:rFonts w:ascii="Times New Roman" w:eastAsia="Times New Roman" w:hAnsi="Times New Roman" w:cs="Times New Roman"/>
          <w:sz w:val="24"/>
          <w:szCs w:val="24"/>
          <w:lang w:val="en-US" w:eastAsia="lt-LT"/>
        </w:rPr>
        <w:t>toliau</w:t>
      </w:r>
      <w:proofErr w:type="spellEnd"/>
      <w:r w:rsidR="00A11365" w:rsidRPr="00DD1A59">
        <w:rPr>
          <w:rFonts w:ascii="Times New Roman" w:eastAsia="Times New Roman" w:hAnsi="Times New Roman" w:cs="Times New Roman"/>
          <w:sz w:val="24"/>
          <w:szCs w:val="24"/>
          <w:lang w:val="en-US" w:eastAsia="lt-LT"/>
        </w:rPr>
        <w:t xml:space="preserve"> </w:t>
      </w:r>
      <w:proofErr w:type="spellStart"/>
      <w:r w:rsidR="003551C9" w:rsidRPr="00DD1A59">
        <w:rPr>
          <w:rFonts w:ascii="Times New Roman" w:eastAsia="Times New Roman" w:hAnsi="Times New Roman" w:cs="Times New Roman"/>
          <w:sz w:val="24"/>
          <w:szCs w:val="24"/>
          <w:lang w:val="en-US" w:eastAsia="lt-LT"/>
        </w:rPr>
        <w:t>s</w:t>
      </w:r>
      <w:r w:rsidR="003551C9" w:rsidRPr="00745C96">
        <w:rPr>
          <w:rFonts w:ascii="Times New Roman" w:eastAsia="Times New Roman" w:hAnsi="Times New Roman" w:cs="Times New Roman"/>
          <w:sz w:val="24"/>
          <w:szCs w:val="24"/>
          <w:lang w:val="en-US" w:eastAsia="lt-LT"/>
        </w:rPr>
        <w:t>katinti</w:t>
      </w:r>
      <w:proofErr w:type="spellEnd"/>
      <w:r w:rsidR="003551C9" w:rsidRPr="00745C96">
        <w:rPr>
          <w:rFonts w:ascii="Times New Roman" w:eastAsia="Times New Roman" w:hAnsi="Times New Roman" w:cs="Times New Roman"/>
          <w:sz w:val="24"/>
          <w:szCs w:val="24"/>
          <w:lang w:val="en-US" w:eastAsia="lt-LT"/>
        </w:rPr>
        <w:t xml:space="preserve"> CŠT </w:t>
      </w:r>
      <w:proofErr w:type="spellStart"/>
      <w:r w:rsidR="003551C9" w:rsidRPr="00745C96">
        <w:rPr>
          <w:rFonts w:ascii="Times New Roman" w:eastAsia="Times New Roman" w:hAnsi="Times New Roman" w:cs="Times New Roman"/>
          <w:sz w:val="24"/>
          <w:szCs w:val="24"/>
          <w:lang w:val="en-US" w:eastAsia="lt-LT"/>
        </w:rPr>
        <w:t>sistemų</w:t>
      </w:r>
      <w:proofErr w:type="spellEnd"/>
      <w:r w:rsidR="003551C9" w:rsidRPr="00745C96">
        <w:rPr>
          <w:rFonts w:ascii="Times New Roman" w:eastAsia="Times New Roman" w:hAnsi="Times New Roman" w:cs="Times New Roman"/>
          <w:sz w:val="24"/>
          <w:szCs w:val="24"/>
          <w:lang w:val="en-US" w:eastAsia="lt-LT"/>
        </w:rPr>
        <w:t xml:space="preserve"> </w:t>
      </w:r>
      <w:proofErr w:type="spellStart"/>
      <w:r w:rsidR="003551C9" w:rsidRPr="00745C96">
        <w:rPr>
          <w:rFonts w:ascii="Times New Roman" w:eastAsia="Times New Roman" w:hAnsi="Times New Roman" w:cs="Times New Roman"/>
          <w:sz w:val="24"/>
          <w:szCs w:val="24"/>
          <w:lang w:val="en-US" w:eastAsia="lt-LT"/>
        </w:rPr>
        <w:t>plėtrą</w:t>
      </w:r>
      <w:proofErr w:type="spellEnd"/>
      <w:r w:rsidR="003551C9" w:rsidRPr="00745C96">
        <w:rPr>
          <w:rFonts w:ascii="Times New Roman" w:eastAsia="Times New Roman" w:hAnsi="Times New Roman" w:cs="Times New Roman"/>
          <w:sz w:val="24"/>
          <w:szCs w:val="24"/>
          <w:lang w:val="en-US" w:eastAsia="lt-LT"/>
        </w:rPr>
        <w:t xml:space="preserve"> ir </w:t>
      </w:r>
      <w:proofErr w:type="spellStart"/>
      <w:r w:rsidR="003551C9" w:rsidRPr="00745C96">
        <w:rPr>
          <w:rFonts w:ascii="Times New Roman" w:eastAsia="Times New Roman" w:hAnsi="Times New Roman" w:cs="Times New Roman"/>
          <w:sz w:val="24"/>
          <w:szCs w:val="24"/>
          <w:lang w:val="en-US" w:eastAsia="lt-LT"/>
        </w:rPr>
        <w:t>remti</w:t>
      </w:r>
      <w:proofErr w:type="spellEnd"/>
      <w:r w:rsidR="003551C9" w:rsidRPr="00745C96">
        <w:rPr>
          <w:rFonts w:ascii="Times New Roman" w:eastAsia="Times New Roman" w:hAnsi="Times New Roman" w:cs="Times New Roman"/>
          <w:sz w:val="24"/>
          <w:szCs w:val="24"/>
          <w:lang w:val="en-US" w:eastAsia="lt-LT"/>
        </w:rPr>
        <w:t xml:space="preserve"> </w:t>
      </w:r>
      <w:proofErr w:type="spellStart"/>
      <w:r w:rsidR="003551C9" w:rsidRPr="00745C96">
        <w:rPr>
          <w:rFonts w:ascii="Times New Roman" w:eastAsia="Times New Roman" w:hAnsi="Times New Roman" w:cs="Times New Roman"/>
          <w:sz w:val="24"/>
          <w:szCs w:val="24"/>
          <w:lang w:val="en-US" w:eastAsia="lt-LT"/>
        </w:rPr>
        <w:t>esamų</w:t>
      </w:r>
      <w:proofErr w:type="spellEnd"/>
      <w:r w:rsidR="003551C9" w:rsidRPr="00745C96">
        <w:rPr>
          <w:rFonts w:ascii="Times New Roman" w:eastAsia="Times New Roman" w:hAnsi="Times New Roman" w:cs="Times New Roman"/>
          <w:sz w:val="24"/>
          <w:szCs w:val="24"/>
          <w:lang w:val="en-US" w:eastAsia="lt-LT"/>
        </w:rPr>
        <w:t xml:space="preserve"> </w:t>
      </w:r>
      <w:proofErr w:type="spellStart"/>
      <w:r w:rsidR="003551C9" w:rsidRPr="00745C96">
        <w:rPr>
          <w:rFonts w:ascii="Times New Roman" w:eastAsia="Times New Roman" w:hAnsi="Times New Roman" w:cs="Times New Roman"/>
          <w:sz w:val="24"/>
          <w:szCs w:val="24"/>
          <w:lang w:val="en-US" w:eastAsia="lt-LT"/>
        </w:rPr>
        <w:t>bei</w:t>
      </w:r>
      <w:proofErr w:type="spellEnd"/>
      <w:r w:rsidR="003551C9" w:rsidRPr="00745C96">
        <w:rPr>
          <w:rFonts w:ascii="Times New Roman" w:eastAsia="Times New Roman" w:hAnsi="Times New Roman" w:cs="Times New Roman"/>
          <w:sz w:val="24"/>
          <w:szCs w:val="24"/>
          <w:lang w:val="en-US" w:eastAsia="lt-LT"/>
        </w:rPr>
        <w:t xml:space="preserve"> </w:t>
      </w:r>
      <w:proofErr w:type="spellStart"/>
      <w:r w:rsidR="003551C9" w:rsidRPr="00745C96">
        <w:rPr>
          <w:rFonts w:ascii="Times New Roman" w:eastAsia="Times New Roman" w:hAnsi="Times New Roman" w:cs="Times New Roman"/>
          <w:sz w:val="24"/>
          <w:szCs w:val="24"/>
          <w:lang w:val="en-US" w:eastAsia="lt-LT"/>
        </w:rPr>
        <w:t>naujų</w:t>
      </w:r>
      <w:proofErr w:type="spellEnd"/>
      <w:r w:rsidR="003551C9" w:rsidRPr="00745C96">
        <w:rPr>
          <w:rFonts w:ascii="Times New Roman" w:eastAsia="Times New Roman" w:hAnsi="Times New Roman" w:cs="Times New Roman"/>
          <w:sz w:val="24"/>
          <w:szCs w:val="24"/>
          <w:lang w:val="en-US" w:eastAsia="lt-LT"/>
        </w:rPr>
        <w:t xml:space="preserve"> </w:t>
      </w:r>
      <w:proofErr w:type="spellStart"/>
      <w:r w:rsidR="003551C9" w:rsidRPr="00745C96">
        <w:rPr>
          <w:rFonts w:ascii="Times New Roman" w:eastAsia="Times New Roman" w:hAnsi="Times New Roman" w:cs="Times New Roman"/>
          <w:sz w:val="24"/>
          <w:szCs w:val="24"/>
          <w:lang w:val="en-US" w:eastAsia="lt-LT"/>
        </w:rPr>
        <w:t>vartotojų</w:t>
      </w:r>
      <w:proofErr w:type="spellEnd"/>
      <w:r w:rsidR="003551C9" w:rsidRPr="00745C96">
        <w:rPr>
          <w:rFonts w:ascii="Times New Roman" w:eastAsia="Times New Roman" w:hAnsi="Times New Roman" w:cs="Times New Roman"/>
          <w:sz w:val="24"/>
          <w:szCs w:val="24"/>
          <w:lang w:val="en-US" w:eastAsia="lt-LT"/>
        </w:rPr>
        <w:t xml:space="preserve"> </w:t>
      </w:r>
      <w:proofErr w:type="spellStart"/>
      <w:r w:rsidR="003551C9" w:rsidRPr="00745C96">
        <w:rPr>
          <w:rFonts w:ascii="Times New Roman" w:eastAsia="Times New Roman" w:hAnsi="Times New Roman" w:cs="Times New Roman"/>
          <w:sz w:val="24"/>
          <w:szCs w:val="24"/>
          <w:lang w:val="en-US" w:eastAsia="lt-LT"/>
        </w:rPr>
        <w:t>prisijungimą</w:t>
      </w:r>
      <w:proofErr w:type="spellEnd"/>
      <w:r w:rsidR="003551C9" w:rsidRPr="00745C96">
        <w:rPr>
          <w:rFonts w:ascii="Times New Roman" w:eastAsia="Times New Roman" w:hAnsi="Times New Roman" w:cs="Times New Roman"/>
          <w:sz w:val="24"/>
          <w:szCs w:val="24"/>
          <w:lang w:val="en-US" w:eastAsia="lt-LT"/>
        </w:rPr>
        <w:t>.</w:t>
      </w:r>
    </w:p>
    <w:p w14:paraId="38F9EA52" w14:textId="62940D15" w:rsidR="00D50D1E" w:rsidRPr="00745C96" w:rsidRDefault="00F9213D" w:rsidP="00DD1A59">
      <w:pPr>
        <w:spacing w:after="120" w:line="240" w:lineRule="auto"/>
        <w:ind w:firstLine="567"/>
        <w:jc w:val="both"/>
        <w:rPr>
          <w:rFonts w:ascii="Times New Roman" w:hAnsi="Times New Roman" w:cs="Times New Roman"/>
          <w:sz w:val="24"/>
          <w:szCs w:val="24"/>
        </w:rPr>
      </w:pPr>
      <w:r w:rsidRPr="00745C96">
        <w:rPr>
          <w:rFonts w:ascii="Times New Roman" w:hAnsi="Times New Roman" w:cs="Times New Roman"/>
          <w:color w:val="000000"/>
          <w:sz w:val="24"/>
          <w:szCs w:val="24"/>
        </w:rPr>
        <w:t xml:space="preserve">Pastaruosius metus CŠT ūkis </w:t>
      </w:r>
      <w:r w:rsidR="003A6643" w:rsidRPr="00745C96">
        <w:rPr>
          <w:rFonts w:ascii="Times New Roman" w:hAnsi="Times New Roman" w:cs="Times New Roman"/>
          <w:color w:val="000000"/>
          <w:sz w:val="24"/>
          <w:szCs w:val="24"/>
        </w:rPr>
        <w:t>praėjo</w:t>
      </w:r>
      <w:r w:rsidRPr="00745C96">
        <w:rPr>
          <w:rFonts w:ascii="Times New Roman" w:hAnsi="Times New Roman" w:cs="Times New Roman"/>
          <w:color w:val="000000"/>
          <w:sz w:val="24"/>
          <w:szCs w:val="24"/>
        </w:rPr>
        <w:t xml:space="preserve"> aktyvų atsinaujinimo etapą. Valstybei skyrus ES</w:t>
      </w:r>
      <w:r w:rsidR="0079787E">
        <w:rPr>
          <w:rFonts w:ascii="Times New Roman" w:hAnsi="Times New Roman" w:cs="Times New Roman"/>
          <w:color w:val="000000"/>
          <w:sz w:val="24"/>
          <w:szCs w:val="24"/>
        </w:rPr>
        <w:t xml:space="preserve"> Struktūrinių fondų</w:t>
      </w:r>
      <w:r w:rsidR="00043200" w:rsidRPr="00745C96">
        <w:rPr>
          <w:rFonts w:ascii="Times New Roman" w:hAnsi="Times New Roman" w:cs="Times New Roman"/>
          <w:color w:val="000000"/>
          <w:sz w:val="24"/>
          <w:szCs w:val="24"/>
        </w:rPr>
        <w:t xml:space="preserve">, Klimato kaitos ir kitų </w:t>
      </w:r>
      <w:r w:rsidR="0079787E">
        <w:rPr>
          <w:rFonts w:ascii="Times New Roman" w:hAnsi="Times New Roman" w:cs="Times New Roman"/>
          <w:color w:val="000000"/>
          <w:sz w:val="24"/>
          <w:szCs w:val="24"/>
        </w:rPr>
        <w:t>programų</w:t>
      </w:r>
      <w:r w:rsidRPr="00745C96">
        <w:rPr>
          <w:rFonts w:ascii="Times New Roman" w:hAnsi="Times New Roman" w:cs="Times New Roman"/>
          <w:color w:val="000000"/>
          <w:sz w:val="24"/>
          <w:szCs w:val="24"/>
        </w:rPr>
        <w:t xml:space="preserve"> lėšas, atnaujinta didelė dalis vamzdynų</w:t>
      </w:r>
      <w:r w:rsidR="003C6F9A" w:rsidRPr="00745C96">
        <w:rPr>
          <w:rFonts w:ascii="Times New Roman" w:hAnsi="Times New Roman" w:cs="Times New Roman"/>
          <w:color w:val="000000"/>
          <w:sz w:val="24"/>
          <w:szCs w:val="24"/>
        </w:rPr>
        <w:t xml:space="preserve"> ir šilumos gamybos šaltinių</w:t>
      </w:r>
      <w:r w:rsidRPr="00745C96">
        <w:rPr>
          <w:rFonts w:ascii="Times New Roman" w:hAnsi="Times New Roman" w:cs="Times New Roman"/>
          <w:color w:val="000000"/>
          <w:sz w:val="24"/>
          <w:szCs w:val="24"/>
        </w:rPr>
        <w:t xml:space="preserve">, </w:t>
      </w:r>
      <w:r w:rsidR="003C6F9A" w:rsidRPr="00745C96">
        <w:rPr>
          <w:rFonts w:ascii="Times New Roman" w:hAnsi="Times New Roman" w:cs="Times New Roman"/>
          <w:color w:val="000000"/>
          <w:sz w:val="24"/>
          <w:szCs w:val="24"/>
        </w:rPr>
        <w:t xml:space="preserve">pasiekta didelė pažanga - </w:t>
      </w:r>
      <w:r w:rsidRPr="00745C96">
        <w:rPr>
          <w:rFonts w:ascii="Times New Roman" w:hAnsi="Times New Roman" w:cs="Times New Roman"/>
          <w:bCs/>
          <w:iCs/>
          <w:sz w:val="24"/>
          <w:szCs w:val="24"/>
        </w:rPr>
        <w:t xml:space="preserve">atsinaujinančių išteklių dalis bendrame kuro balanse </w:t>
      </w:r>
      <w:r w:rsidR="00137BB4" w:rsidRPr="00745C96">
        <w:rPr>
          <w:rFonts w:ascii="Times New Roman" w:hAnsi="Times New Roman" w:cs="Times New Roman"/>
          <w:bCs/>
          <w:iCs/>
          <w:sz w:val="24"/>
          <w:szCs w:val="24"/>
        </w:rPr>
        <w:t xml:space="preserve">2019 metais </w:t>
      </w:r>
      <w:r w:rsidRPr="00745C96">
        <w:rPr>
          <w:rFonts w:ascii="Times New Roman" w:hAnsi="Times New Roman" w:cs="Times New Roman"/>
          <w:bCs/>
          <w:iCs/>
          <w:sz w:val="24"/>
          <w:szCs w:val="24"/>
        </w:rPr>
        <w:t>išaugo</w:t>
      </w:r>
      <w:r w:rsidRPr="00745C96">
        <w:rPr>
          <w:rFonts w:ascii="Times New Roman" w:hAnsi="Times New Roman" w:cs="Times New Roman"/>
          <w:b/>
          <w:iCs/>
          <w:sz w:val="24"/>
          <w:szCs w:val="24"/>
        </w:rPr>
        <w:t xml:space="preserve"> </w:t>
      </w:r>
      <w:r w:rsidR="00137BB4" w:rsidRPr="00745C96">
        <w:rPr>
          <w:rFonts w:ascii="Times New Roman" w:hAnsi="Times New Roman" w:cs="Times New Roman"/>
          <w:bCs/>
          <w:iCs/>
          <w:sz w:val="24"/>
          <w:szCs w:val="24"/>
        </w:rPr>
        <w:t xml:space="preserve">virš </w:t>
      </w:r>
      <w:r w:rsidRPr="00745C96">
        <w:rPr>
          <w:rFonts w:ascii="Times New Roman" w:hAnsi="Times New Roman" w:cs="Times New Roman"/>
          <w:bCs/>
          <w:iCs/>
          <w:sz w:val="24"/>
          <w:szCs w:val="24"/>
        </w:rPr>
        <w:t>70 proc.</w:t>
      </w:r>
      <w:r w:rsidRPr="00745C96">
        <w:rPr>
          <w:rFonts w:ascii="Times New Roman" w:hAnsi="Times New Roman" w:cs="Times New Roman"/>
          <w:sz w:val="24"/>
          <w:szCs w:val="24"/>
        </w:rPr>
        <w:t xml:space="preserve"> </w:t>
      </w:r>
      <w:r w:rsidR="00137BB4" w:rsidRPr="00745C96">
        <w:rPr>
          <w:rFonts w:ascii="Times New Roman" w:hAnsi="Times New Roman" w:cs="Times New Roman"/>
          <w:sz w:val="24"/>
          <w:szCs w:val="24"/>
        </w:rPr>
        <w:t xml:space="preserve">2018 m.  sausio 11 d. Aplinkos ministerijos priimti statybos techninio reglamento </w:t>
      </w:r>
      <w:r w:rsidR="00137BB4" w:rsidRPr="00745C96">
        <w:rPr>
          <w:rFonts w:ascii="Times New Roman" w:hAnsi="Times New Roman" w:cs="Times New Roman"/>
          <w:sz w:val="24"/>
          <w:szCs w:val="24"/>
          <w:lang w:eastAsia="lt-LT"/>
        </w:rPr>
        <w:t xml:space="preserve">STR </w:t>
      </w:r>
      <w:r w:rsidR="00137BB4" w:rsidRPr="00745C96">
        <w:rPr>
          <w:rFonts w:ascii="Times New Roman" w:hAnsi="Times New Roman" w:cs="Times New Roman"/>
          <w:bCs/>
          <w:sz w:val="24"/>
          <w:szCs w:val="24"/>
          <w:lang w:eastAsia="lt-LT"/>
        </w:rPr>
        <w:t xml:space="preserve">2.01.02:2016 </w:t>
      </w:r>
      <w:r w:rsidR="00137BB4" w:rsidRPr="00745C96">
        <w:rPr>
          <w:rFonts w:ascii="Times New Roman" w:hAnsi="Times New Roman" w:cs="Times New Roman"/>
          <w:sz w:val="24"/>
          <w:szCs w:val="24"/>
          <w:lang w:eastAsia="lt-LT"/>
        </w:rPr>
        <w:t>„Pastatų energinio naudingumo projektavimas ir sertifikavimas“ pakeitimai (</w:t>
      </w:r>
      <w:r w:rsidR="00137BB4" w:rsidRPr="00745C96">
        <w:rPr>
          <w:rFonts w:ascii="Times New Roman" w:hAnsi="Times New Roman" w:cs="Times New Roman"/>
          <w:sz w:val="24"/>
          <w:szCs w:val="24"/>
        </w:rPr>
        <w:t>TAR, 2019-01-14, Nr. 444)</w:t>
      </w:r>
      <w:r w:rsidR="00137BB4" w:rsidRPr="00745C96">
        <w:rPr>
          <w:rFonts w:ascii="Times New Roman" w:hAnsi="Times New Roman" w:cs="Times New Roman"/>
          <w:sz w:val="24"/>
          <w:szCs w:val="24"/>
          <w:lang w:eastAsia="lt-LT"/>
        </w:rPr>
        <w:t xml:space="preserve">, </w:t>
      </w:r>
      <w:r w:rsidR="00137BB4" w:rsidRPr="00745C96">
        <w:rPr>
          <w:rFonts w:ascii="Times New Roman" w:hAnsi="Times New Roman" w:cs="Times New Roman"/>
          <w:sz w:val="24"/>
          <w:szCs w:val="24"/>
        </w:rPr>
        <w:t xml:space="preserve">pagal kuriuos centralizuotai tiekiama šiluma </w:t>
      </w:r>
      <w:r w:rsidR="003C6F9A" w:rsidRPr="00745C96">
        <w:rPr>
          <w:rFonts w:ascii="Times New Roman" w:hAnsi="Times New Roman" w:cs="Times New Roman"/>
          <w:sz w:val="24"/>
          <w:szCs w:val="24"/>
        </w:rPr>
        <w:t xml:space="preserve">nuo 2019 metų </w:t>
      </w:r>
      <w:r w:rsidR="00137BB4" w:rsidRPr="00745C96">
        <w:rPr>
          <w:rFonts w:ascii="Times New Roman" w:hAnsi="Times New Roman" w:cs="Times New Roman"/>
          <w:sz w:val="24"/>
          <w:szCs w:val="24"/>
        </w:rPr>
        <w:t xml:space="preserve">pripažįstama prioritetiniu energijos šaltiniu </w:t>
      </w:r>
      <w:r w:rsidR="006E0069" w:rsidRPr="00745C96">
        <w:rPr>
          <w:rFonts w:ascii="Times New Roman" w:hAnsi="Times New Roman" w:cs="Times New Roman"/>
          <w:sz w:val="24"/>
          <w:szCs w:val="24"/>
        </w:rPr>
        <w:t xml:space="preserve">net </w:t>
      </w:r>
      <w:r w:rsidR="00D764F3" w:rsidRPr="00745C96">
        <w:rPr>
          <w:rFonts w:ascii="Times New Roman" w:hAnsi="Times New Roman" w:cs="Times New Roman"/>
          <w:sz w:val="24"/>
          <w:szCs w:val="24"/>
        </w:rPr>
        <w:t xml:space="preserve">ir </w:t>
      </w:r>
      <w:r w:rsidR="00137BB4" w:rsidRPr="00745C96">
        <w:rPr>
          <w:rFonts w:ascii="Times New Roman" w:hAnsi="Times New Roman" w:cs="Times New Roman"/>
          <w:sz w:val="24"/>
          <w:szCs w:val="24"/>
        </w:rPr>
        <w:t>A++ klasės pastatams</w:t>
      </w:r>
      <w:r w:rsidR="00C8016B" w:rsidRPr="00745C96">
        <w:rPr>
          <w:rFonts w:ascii="Times New Roman" w:hAnsi="Times New Roman" w:cs="Times New Roman"/>
          <w:sz w:val="24"/>
          <w:szCs w:val="24"/>
        </w:rPr>
        <w:t xml:space="preserve">, </w:t>
      </w:r>
      <w:proofErr w:type="spellStart"/>
      <w:r w:rsidR="00132EED" w:rsidRPr="00745C96">
        <w:rPr>
          <w:rFonts w:ascii="Times New Roman" w:hAnsi="Times New Roman" w:cs="Times New Roman"/>
          <w:sz w:val="24"/>
          <w:szCs w:val="24"/>
        </w:rPr>
        <w:t>t.y</w:t>
      </w:r>
      <w:proofErr w:type="spellEnd"/>
      <w:r w:rsidR="00132EED" w:rsidRPr="00745C96">
        <w:rPr>
          <w:rFonts w:ascii="Times New Roman" w:hAnsi="Times New Roman" w:cs="Times New Roman"/>
          <w:sz w:val="24"/>
          <w:szCs w:val="24"/>
        </w:rPr>
        <w:t xml:space="preserve">. CŠT šiluma atitinka visus </w:t>
      </w:r>
      <w:r w:rsidR="00C8016B" w:rsidRPr="00745C96">
        <w:rPr>
          <w:rFonts w:ascii="Times New Roman" w:hAnsi="Times New Roman" w:cs="Times New Roman"/>
          <w:sz w:val="24"/>
          <w:szCs w:val="24"/>
        </w:rPr>
        <w:t xml:space="preserve">keliamus reikalavimus dėl </w:t>
      </w:r>
      <w:r w:rsidR="00132EED" w:rsidRPr="00745C96">
        <w:rPr>
          <w:rFonts w:ascii="Times New Roman" w:hAnsi="Times New Roman" w:cs="Times New Roman"/>
          <w:sz w:val="24"/>
          <w:szCs w:val="24"/>
        </w:rPr>
        <w:t>a</w:t>
      </w:r>
      <w:r w:rsidR="00C8016B" w:rsidRPr="00745C96">
        <w:rPr>
          <w:rFonts w:ascii="Times New Roman" w:hAnsi="Times New Roman" w:cs="Times New Roman"/>
          <w:sz w:val="24"/>
          <w:szCs w:val="24"/>
        </w:rPr>
        <w:t>tsinaujinančių energijos išteklių  (toliau  - AEI) dalies kuro struktūroje</w:t>
      </w:r>
      <w:r w:rsidR="004E7C80" w:rsidRPr="00745C96">
        <w:rPr>
          <w:rFonts w:ascii="Times New Roman" w:hAnsi="Times New Roman" w:cs="Times New Roman"/>
          <w:sz w:val="24"/>
          <w:szCs w:val="24"/>
        </w:rPr>
        <w:t>.</w:t>
      </w:r>
    </w:p>
    <w:p w14:paraId="70A59772" w14:textId="2EE10F89" w:rsidR="000514A9" w:rsidRPr="0025662F" w:rsidRDefault="000514A9" w:rsidP="00DD1A59">
      <w:pPr>
        <w:spacing w:after="120" w:line="240" w:lineRule="auto"/>
        <w:ind w:firstLine="567"/>
        <w:jc w:val="both"/>
        <w:rPr>
          <w:rFonts w:ascii="Times New Roman" w:hAnsi="Times New Roman" w:cs="Times New Roman"/>
          <w:sz w:val="24"/>
          <w:szCs w:val="24"/>
        </w:rPr>
      </w:pPr>
      <w:r w:rsidRPr="0025662F">
        <w:rPr>
          <w:rFonts w:ascii="Times New Roman" w:hAnsi="Times New Roman" w:cs="Times New Roman"/>
          <w:sz w:val="24"/>
          <w:szCs w:val="24"/>
        </w:rPr>
        <w:t xml:space="preserve">Klimato kaitos programos lėšų naudojimo </w:t>
      </w:r>
      <w:r w:rsidRPr="0025662F">
        <w:rPr>
          <w:rStyle w:val="Strong"/>
          <w:rFonts w:ascii="Times New Roman" w:hAnsi="Times New Roman" w:cs="Times New Roman"/>
          <w:b w:val="0"/>
          <w:sz w:val="24"/>
          <w:szCs w:val="24"/>
        </w:rPr>
        <w:t>2020 m.</w:t>
      </w:r>
      <w:r w:rsidRPr="0025662F">
        <w:rPr>
          <w:rFonts w:ascii="Times New Roman" w:hAnsi="Times New Roman" w:cs="Times New Roman"/>
          <w:sz w:val="24"/>
          <w:szCs w:val="24"/>
        </w:rPr>
        <w:t xml:space="preserve"> sąmatoje (</w:t>
      </w:r>
      <w:r w:rsidR="00115800" w:rsidRPr="0025662F">
        <w:rPr>
          <w:rFonts w:ascii="Times New Roman" w:hAnsi="Times New Roman" w:cs="Times New Roman"/>
          <w:sz w:val="24"/>
          <w:szCs w:val="24"/>
        </w:rPr>
        <w:t>TAR, 2020-03-12, Nr. 5363</w:t>
      </w:r>
      <w:r w:rsidRPr="0025662F">
        <w:rPr>
          <w:rFonts w:ascii="Times New Roman" w:hAnsi="Times New Roman" w:cs="Times New Roman"/>
          <w:sz w:val="24"/>
          <w:szCs w:val="24"/>
        </w:rPr>
        <w:t xml:space="preserve">) patvirtintas paramos teikimas </w:t>
      </w:r>
      <w:r w:rsidR="00BF59D3" w:rsidRPr="0025662F">
        <w:rPr>
          <w:rFonts w:ascii="Times New Roman" w:hAnsi="Times New Roman" w:cs="Times New Roman"/>
          <w:sz w:val="24"/>
          <w:szCs w:val="24"/>
        </w:rPr>
        <w:t>a</w:t>
      </w:r>
      <w:r w:rsidR="00822B07" w:rsidRPr="0025662F">
        <w:rPr>
          <w:rFonts w:ascii="Times New Roman" w:hAnsi="Times New Roman" w:cs="Times New Roman"/>
          <w:sz w:val="24"/>
          <w:szCs w:val="24"/>
        </w:rPr>
        <w:t xml:space="preserve">tsinaujinančių energijos išteklių (saulės, vėjo, geoterminės energijos, biokuro </w:t>
      </w:r>
      <w:r w:rsidR="00627073">
        <w:rPr>
          <w:rFonts w:ascii="Times New Roman" w:hAnsi="Times New Roman" w:cs="Times New Roman"/>
          <w:sz w:val="24"/>
          <w:szCs w:val="24"/>
        </w:rPr>
        <w:t>i</w:t>
      </w:r>
      <w:r w:rsidR="00822B07" w:rsidRPr="0025662F">
        <w:rPr>
          <w:rFonts w:ascii="Times New Roman" w:hAnsi="Times New Roman" w:cs="Times New Roman"/>
          <w:sz w:val="24"/>
          <w:szCs w:val="24"/>
        </w:rPr>
        <w:t>r kitų) panaudojimui įvairios paskirties pastatams (priemonės 1.2.1, 1.2.2, 1.2.3, 1.2.6)</w:t>
      </w:r>
      <w:r w:rsidR="00745C96" w:rsidRPr="0025662F">
        <w:rPr>
          <w:rStyle w:val="FootnoteReference"/>
          <w:rFonts w:ascii="Times New Roman" w:hAnsi="Times New Roman" w:cs="Times New Roman"/>
          <w:sz w:val="24"/>
          <w:szCs w:val="24"/>
          <w:lang w:eastAsia="lt-LT"/>
        </w:rPr>
        <w:footnoteReference w:id="1"/>
      </w:r>
      <w:r w:rsidR="00745C96" w:rsidRPr="0025662F">
        <w:rPr>
          <w:rFonts w:ascii="Times New Roman" w:hAnsi="Times New Roman" w:cs="Times New Roman"/>
          <w:sz w:val="24"/>
          <w:szCs w:val="24"/>
        </w:rPr>
        <w:t xml:space="preserve"> </w:t>
      </w:r>
      <w:r w:rsidR="003551C9" w:rsidRPr="0025662F">
        <w:rPr>
          <w:rFonts w:ascii="Times New Roman" w:hAnsi="Times New Roman" w:cs="Times New Roman"/>
          <w:sz w:val="24"/>
          <w:szCs w:val="24"/>
        </w:rPr>
        <w:t xml:space="preserve">, pakeičiant iškastinio kuro naudojimą arba </w:t>
      </w:r>
      <w:r w:rsidR="003551C9" w:rsidRPr="0025662F">
        <w:rPr>
          <w:rFonts w:ascii="Times New Roman" w:hAnsi="Times New Roman" w:cs="Times New Roman"/>
          <w:sz w:val="24"/>
          <w:szCs w:val="24"/>
          <w:lang w:eastAsia="lt-LT"/>
        </w:rPr>
        <w:t>siekiant nulinio šiltnamio efektą sukeliančių dujų išmetimo lygio.</w:t>
      </w:r>
      <w:r w:rsidR="00822B07" w:rsidRPr="0025662F">
        <w:rPr>
          <w:rFonts w:ascii="Times New Roman" w:hAnsi="Times New Roman" w:cs="Times New Roman"/>
          <w:sz w:val="24"/>
          <w:szCs w:val="24"/>
        </w:rPr>
        <w:t xml:space="preserve"> </w:t>
      </w:r>
    </w:p>
    <w:p w14:paraId="46EB034F" w14:textId="65139555" w:rsidR="00ED0506" w:rsidRPr="00745C96" w:rsidRDefault="00ED0506" w:rsidP="00DD1A59">
      <w:pPr>
        <w:spacing w:after="120" w:line="240" w:lineRule="auto"/>
        <w:ind w:firstLine="567"/>
        <w:jc w:val="both"/>
        <w:rPr>
          <w:rFonts w:ascii="Times New Roman" w:hAnsi="Times New Roman" w:cs="Times New Roman"/>
          <w:sz w:val="24"/>
          <w:szCs w:val="24"/>
        </w:rPr>
      </w:pPr>
      <w:r w:rsidRPr="00745C96">
        <w:rPr>
          <w:rFonts w:ascii="Times New Roman" w:hAnsi="Times New Roman" w:cs="Times New Roman"/>
          <w:sz w:val="24"/>
          <w:szCs w:val="24"/>
        </w:rPr>
        <w:t>Pagal esamą reglamentavimą į paramą gali pretenduoti ir pastatai, šiuo metu šilumos energijos gamybai naudoja</w:t>
      </w:r>
      <w:r w:rsidR="0039792C" w:rsidRPr="00745C96">
        <w:rPr>
          <w:rFonts w:ascii="Times New Roman" w:hAnsi="Times New Roman" w:cs="Times New Roman"/>
          <w:sz w:val="24"/>
          <w:szCs w:val="24"/>
        </w:rPr>
        <w:t xml:space="preserve">ntys </w:t>
      </w:r>
      <w:r w:rsidRPr="00745C96">
        <w:rPr>
          <w:rFonts w:ascii="Times New Roman" w:hAnsi="Times New Roman" w:cs="Times New Roman"/>
          <w:sz w:val="24"/>
          <w:szCs w:val="24"/>
        </w:rPr>
        <w:t xml:space="preserve"> taršius iškastinio kuro katilus </w:t>
      </w:r>
      <w:r w:rsidR="0039792C" w:rsidRPr="00745C96">
        <w:rPr>
          <w:rFonts w:ascii="Times New Roman" w:hAnsi="Times New Roman" w:cs="Times New Roman"/>
          <w:sz w:val="24"/>
          <w:szCs w:val="24"/>
        </w:rPr>
        <w:t xml:space="preserve">bei </w:t>
      </w:r>
      <w:r w:rsidRPr="00745C96">
        <w:rPr>
          <w:rFonts w:ascii="Times New Roman" w:hAnsi="Times New Roman" w:cs="Times New Roman"/>
          <w:sz w:val="24"/>
          <w:szCs w:val="24"/>
        </w:rPr>
        <w:t xml:space="preserve">išsidėstę </w:t>
      </w:r>
      <w:r w:rsidR="0039792C" w:rsidRPr="00745C96">
        <w:rPr>
          <w:rFonts w:ascii="Times New Roman" w:hAnsi="Times New Roman" w:cs="Times New Roman"/>
          <w:sz w:val="24"/>
          <w:szCs w:val="24"/>
        </w:rPr>
        <w:t xml:space="preserve">miestų </w:t>
      </w:r>
      <w:r w:rsidRPr="00745C96">
        <w:rPr>
          <w:rFonts w:ascii="Times New Roman" w:hAnsi="Times New Roman" w:cs="Times New Roman"/>
          <w:sz w:val="24"/>
          <w:szCs w:val="24"/>
        </w:rPr>
        <w:t xml:space="preserve">teritorijose šalia CŠT tinklų, todėl tokiems vartotojams tarp siūlomų </w:t>
      </w:r>
      <w:r w:rsidR="00D764F3" w:rsidRPr="00745C96">
        <w:rPr>
          <w:rFonts w:ascii="Times New Roman" w:hAnsi="Times New Roman" w:cs="Times New Roman"/>
          <w:sz w:val="24"/>
          <w:szCs w:val="24"/>
        </w:rPr>
        <w:t xml:space="preserve">AEI </w:t>
      </w:r>
      <w:r w:rsidRPr="00745C96">
        <w:rPr>
          <w:rFonts w:ascii="Times New Roman" w:hAnsi="Times New Roman" w:cs="Times New Roman"/>
          <w:sz w:val="24"/>
          <w:szCs w:val="24"/>
        </w:rPr>
        <w:t>alternatyvų (šilumos siurbliai</w:t>
      </w:r>
      <w:r w:rsidR="0039792C" w:rsidRPr="00745C96">
        <w:rPr>
          <w:rFonts w:ascii="Times New Roman" w:hAnsi="Times New Roman" w:cs="Times New Roman"/>
          <w:sz w:val="24"/>
          <w:szCs w:val="24"/>
        </w:rPr>
        <w:t>,</w:t>
      </w:r>
      <w:r w:rsidRPr="00745C96">
        <w:rPr>
          <w:rFonts w:ascii="Times New Roman" w:hAnsi="Times New Roman" w:cs="Times New Roman"/>
          <w:sz w:val="24"/>
          <w:szCs w:val="24"/>
        </w:rPr>
        <w:t xml:space="preserve"> saulės kolektoriai, biokuro katilai ir </w:t>
      </w:r>
      <w:r w:rsidR="003551C9" w:rsidRPr="00745C96">
        <w:rPr>
          <w:rFonts w:ascii="Times New Roman" w:hAnsi="Times New Roman" w:cs="Times New Roman"/>
          <w:sz w:val="24"/>
          <w:szCs w:val="24"/>
        </w:rPr>
        <w:t>kt</w:t>
      </w:r>
      <w:r w:rsidRPr="00745C96">
        <w:rPr>
          <w:rFonts w:ascii="Times New Roman" w:hAnsi="Times New Roman" w:cs="Times New Roman"/>
          <w:sz w:val="24"/>
          <w:szCs w:val="24"/>
        </w:rPr>
        <w:t xml:space="preserve">.) turi būti numatyta ir galimybė </w:t>
      </w:r>
      <w:r w:rsidR="0039792C" w:rsidRPr="00745C96">
        <w:rPr>
          <w:rFonts w:ascii="Times New Roman" w:hAnsi="Times New Roman" w:cs="Times New Roman"/>
          <w:sz w:val="24"/>
          <w:szCs w:val="24"/>
        </w:rPr>
        <w:t xml:space="preserve">keisti </w:t>
      </w:r>
      <w:r w:rsidR="00C8016B" w:rsidRPr="00745C96">
        <w:rPr>
          <w:rFonts w:ascii="Times New Roman" w:hAnsi="Times New Roman" w:cs="Times New Roman"/>
          <w:sz w:val="24"/>
          <w:szCs w:val="24"/>
        </w:rPr>
        <w:t xml:space="preserve">savo </w:t>
      </w:r>
      <w:r w:rsidR="0039792C" w:rsidRPr="00745C96">
        <w:rPr>
          <w:rFonts w:ascii="Times New Roman" w:hAnsi="Times New Roman" w:cs="Times New Roman"/>
          <w:sz w:val="24"/>
          <w:szCs w:val="24"/>
        </w:rPr>
        <w:t xml:space="preserve">taršų šilumos energiją generuojantį įrenginį, </w:t>
      </w:r>
      <w:r w:rsidRPr="00745C96">
        <w:rPr>
          <w:rFonts w:ascii="Times New Roman" w:hAnsi="Times New Roman" w:cs="Times New Roman"/>
          <w:sz w:val="24"/>
          <w:szCs w:val="24"/>
        </w:rPr>
        <w:lastRenderedPageBreak/>
        <w:t>pasir</w:t>
      </w:r>
      <w:r w:rsidR="0039792C" w:rsidRPr="00745C96">
        <w:rPr>
          <w:rFonts w:ascii="Times New Roman" w:hAnsi="Times New Roman" w:cs="Times New Roman"/>
          <w:sz w:val="24"/>
          <w:szCs w:val="24"/>
        </w:rPr>
        <w:t xml:space="preserve">enkant prisijungimą prie </w:t>
      </w:r>
      <w:r w:rsidRPr="00745C96">
        <w:rPr>
          <w:rFonts w:ascii="Times New Roman" w:hAnsi="Times New Roman" w:cs="Times New Roman"/>
          <w:sz w:val="24"/>
          <w:szCs w:val="24"/>
        </w:rPr>
        <w:t xml:space="preserve">CŠT </w:t>
      </w:r>
      <w:r w:rsidR="0039792C" w:rsidRPr="00745C96">
        <w:rPr>
          <w:rFonts w:ascii="Times New Roman" w:hAnsi="Times New Roman" w:cs="Times New Roman"/>
          <w:sz w:val="24"/>
          <w:szCs w:val="24"/>
        </w:rPr>
        <w:t>tinklų</w:t>
      </w:r>
      <w:r w:rsidRPr="00745C96">
        <w:rPr>
          <w:rFonts w:ascii="Times New Roman" w:hAnsi="Times New Roman" w:cs="Times New Roman"/>
          <w:sz w:val="24"/>
          <w:szCs w:val="24"/>
        </w:rPr>
        <w:t xml:space="preserve">, </w:t>
      </w:r>
      <w:r w:rsidR="004625AA">
        <w:rPr>
          <w:rFonts w:ascii="Times New Roman" w:hAnsi="Times New Roman" w:cs="Times New Roman"/>
          <w:sz w:val="24"/>
          <w:szCs w:val="24"/>
        </w:rPr>
        <w:t xml:space="preserve">o tai </w:t>
      </w:r>
      <w:r w:rsidR="0079787E">
        <w:rPr>
          <w:rFonts w:ascii="Times New Roman" w:hAnsi="Times New Roman" w:cs="Times New Roman"/>
          <w:sz w:val="24"/>
          <w:szCs w:val="24"/>
        </w:rPr>
        <w:t>daug</w:t>
      </w:r>
      <w:r w:rsidR="004625AA">
        <w:rPr>
          <w:rFonts w:ascii="Times New Roman" w:hAnsi="Times New Roman" w:cs="Times New Roman"/>
          <w:sz w:val="24"/>
          <w:szCs w:val="24"/>
        </w:rPr>
        <w:t xml:space="preserve">eliu </w:t>
      </w:r>
      <w:r w:rsidR="0079787E">
        <w:rPr>
          <w:rFonts w:ascii="Times New Roman" w:hAnsi="Times New Roman" w:cs="Times New Roman"/>
          <w:sz w:val="24"/>
          <w:szCs w:val="24"/>
        </w:rPr>
        <w:t xml:space="preserve">atvejų </w:t>
      </w:r>
      <w:r w:rsidRPr="00745C96">
        <w:rPr>
          <w:rFonts w:ascii="Times New Roman" w:hAnsi="Times New Roman" w:cs="Times New Roman"/>
          <w:sz w:val="24"/>
          <w:szCs w:val="24"/>
        </w:rPr>
        <w:t>būtų daug ekonomiškiau</w:t>
      </w:r>
      <w:r w:rsidR="00627073">
        <w:rPr>
          <w:rFonts w:ascii="Times New Roman" w:hAnsi="Times New Roman" w:cs="Times New Roman"/>
          <w:sz w:val="24"/>
          <w:szCs w:val="24"/>
        </w:rPr>
        <w:t>,</w:t>
      </w:r>
      <w:r w:rsidRPr="00745C96">
        <w:rPr>
          <w:rFonts w:ascii="Times New Roman" w:hAnsi="Times New Roman" w:cs="Times New Roman"/>
          <w:sz w:val="24"/>
          <w:szCs w:val="24"/>
        </w:rPr>
        <w:t xml:space="preserve"> lyginant su kitais alternatyviais aplinkai draugiškais </w:t>
      </w:r>
      <w:r w:rsidR="0039792C" w:rsidRPr="00745C96">
        <w:rPr>
          <w:rFonts w:ascii="Times New Roman" w:hAnsi="Times New Roman" w:cs="Times New Roman"/>
          <w:sz w:val="24"/>
          <w:szCs w:val="24"/>
        </w:rPr>
        <w:t xml:space="preserve">individualiais </w:t>
      </w:r>
      <w:r w:rsidRPr="00745C96">
        <w:rPr>
          <w:rFonts w:ascii="Times New Roman" w:hAnsi="Times New Roman" w:cs="Times New Roman"/>
          <w:sz w:val="24"/>
          <w:szCs w:val="24"/>
        </w:rPr>
        <w:t xml:space="preserve">šildymo būdais. </w:t>
      </w:r>
    </w:p>
    <w:p w14:paraId="783770BB" w14:textId="377D44F3" w:rsidR="00822B07" w:rsidRPr="00745C96" w:rsidRDefault="00ED0506" w:rsidP="00DD1A59">
      <w:pPr>
        <w:spacing w:after="120" w:line="240" w:lineRule="auto"/>
        <w:ind w:firstLine="567"/>
        <w:jc w:val="both"/>
        <w:rPr>
          <w:rFonts w:ascii="Times New Roman" w:hAnsi="Times New Roman" w:cs="Times New Roman"/>
          <w:sz w:val="24"/>
          <w:szCs w:val="24"/>
          <w:lang w:eastAsia="lt-LT"/>
        </w:rPr>
      </w:pPr>
      <w:r w:rsidRPr="00745C96">
        <w:rPr>
          <w:rFonts w:ascii="Times New Roman" w:hAnsi="Times New Roman" w:cs="Times New Roman"/>
          <w:sz w:val="24"/>
          <w:szCs w:val="24"/>
          <w:lang w:eastAsia="lt-LT"/>
        </w:rPr>
        <w:t xml:space="preserve">Kadangi šios priemonės bus tęstinės, prašome </w:t>
      </w:r>
      <w:r w:rsidR="0079787E">
        <w:rPr>
          <w:rFonts w:ascii="Times New Roman" w:hAnsi="Times New Roman" w:cs="Times New Roman"/>
          <w:sz w:val="24"/>
          <w:szCs w:val="24"/>
          <w:lang w:eastAsia="lt-LT"/>
        </w:rPr>
        <w:t xml:space="preserve">Aplinkos ministeriją </w:t>
      </w:r>
      <w:r w:rsidRPr="00745C96">
        <w:rPr>
          <w:rFonts w:ascii="Times New Roman" w:hAnsi="Times New Roman" w:cs="Times New Roman"/>
          <w:sz w:val="24"/>
          <w:szCs w:val="24"/>
          <w:lang w:eastAsia="lt-LT"/>
        </w:rPr>
        <w:t>formuojant 2021 m. Klimato kaitos programos lėšų naudojimo sąmatą papildyti aukščiau minėtų priemonių tinkamų finansuoti išlaidų sąraš</w:t>
      </w:r>
      <w:r w:rsidR="003551C9" w:rsidRPr="00745C96">
        <w:rPr>
          <w:rFonts w:ascii="Times New Roman" w:hAnsi="Times New Roman" w:cs="Times New Roman"/>
          <w:sz w:val="24"/>
          <w:szCs w:val="24"/>
          <w:lang w:eastAsia="lt-LT"/>
        </w:rPr>
        <w:t>us</w:t>
      </w:r>
      <w:r w:rsidRPr="00745C96">
        <w:rPr>
          <w:rFonts w:ascii="Times New Roman" w:hAnsi="Times New Roman" w:cs="Times New Roman"/>
          <w:sz w:val="24"/>
          <w:szCs w:val="24"/>
          <w:lang w:eastAsia="lt-LT"/>
        </w:rPr>
        <w:t xml:space="preserve">, numatant </w:t>
      </w:r>
      <w:r w:rsidR="003551C9" w:rsidRPr="00745C96">
        <w:rPr>
          <w:rFonts w:ascii="Times New Roman" w:hAnsi="Times New Roman" w:cs="Times New Roman"/>
          <w:sz w:val="24"/>
          <w:szCs w:val="24"/>
          <w:lang w:eastAsia="lt-LT"/>
        </w:rPr>
        <w:t xml:space="preserve">vartotojams galimybę </w:t>
      </w:r>
      <w:r w:rsidR="004E7C80" w:rsidRPr="00745C96">
        <w:rPr>
          <w:rFonts w:ascii="Times New Roman" w:hAnsi="Times New Roman" w:cs="Times New Roman"/>
          <w:sz w:val="24"/>
          <w:szCs w:val="24"/>
          <w:lang w:eastAsia="lt-LT"/>
        </w:rPr>
        <w:t xml:space="preserve">pasirinkti </w:t>
      </w:r>
      <w:r w:rsidR="0025662F">
        <w:rPr>
          <w:rFonts w:ascii="Times New Roman" w:hAnsi="Times New Roman" w:cs="Times New Roman"/>
          <w:sz w:val="24"/>
          <w:szCs w:val="24"/>
          <w:lang w:eastAsia="lt-LT"/>
        </w:rPr>
        <w:t xml:space="preserve">ir </w:t>
      </w:r>
      <w:r w:rsidR="004625AA" w:rsidRPr="00D108AD">
        <w:rPr>
          <w:rFonts w:ascii="Times New Roman" w:hAnsi="Times New Roman" w:cs="Times New Roman"/>
          <w:sz w:val="24"/>
          <w:szCs w:val="24"/>
          <w:lang w:eastAsia="lt-LT"/>
        </w:rPr>
        <w:t>skatin</w:t>
      </w:r>
      <w:r w:rsidR="00D108AD" w:rsidRPr="00D108AD">
        <w:rPr>
          <w:rFonts w:ascii="Times New Roman" w:hAnsi="Times New Roman" w:cs="Times New Roman"/>
          <w:sz w:val="24"/>
          <w:szCs w:val="24"/>
          <w:lang w:eastAsia="lt-LT"/>
        </w:rPr>
        <w:t>ti</w:t>
      </w:r>
      <w:r w:rsidR="004625AA">
        <w:rPr>
          <w:rFonts w:ascii="Times New Roman" w:hAnsi="Times New Roman" w:cs="Times New Roman"/>
          <w:sz w:val="24"/>
          <w:szCs w:val="24"/>
          <w:lang w:eastAsia="lt-LT"/>
        </w:rPr>
        <w:t xml:space="preserve"> </w:t>
      </w:r>
      <w:r w:rsidR="00D764F3" w:rsidRPr="00745C96">
        <w:rPr>
          <w:rFonts w:ascii="Times New Roman" w:hAnsi="Times New Roman" w:cs="Times New Roman"/>
          <w:sz w:val="24"/>
          <w:szCs w:val="24"/>
        </w:rPr>
        <w:t>prisijung</w:t>
      </w:r>
      <w:r w:rsidR="003551C9" w:rsidRPr="00745C96">
        <w:rPr>
          <w:rFonts w:ascii="Times New Roman" w:hAnsi="Times New Roman" w:cs="Times New Roman"/>
          <w:sz w:val="24"/>
          <w:szCs w:val="24"/>
        </w:rPr>
        <w:t>i</w:t>
      </w:r>
      <w:r w:rsidR="004E7C80" w:rsidRPr="00745C96">
        <w:rPr>
          <w:rFonts w:ascii="Times New Roman" w:hAnsi="Times New Roman" w:cs="Times New Roman"/>
          <w:sz w:val="24"/>
          <w:szCs w:val="24"/>
        </w:rPr>
        <w:t>mą</w:t>
      </w:r>
      <w:r w:rsidR="00D764F3" w:rsidRPr="00745C96">
        <w:rPr>
          <w:rFonts w:ascii="Times New Roman" w:hAnsi="Times New Roman" w:cs="Times New Roman"/>
          <w:sz w:val="24"/>
          <w:szCs w:val="24"/>
        </w:rPr>
        <w:t xml:space="preserve"> prie efektyvios CŠT sistemos, </w:t>
      </w:r>
      <w:proofErr w:type="spellStart"/>
      <w:r w:rsidR="003551C9" w:rsidRPr="00745C96">
        <w:rPr>
          <w:rFonts w:ascii="Times New Roman" w:hAnsi="Times New Roman" w:cs="Times New Roman"/>
          <w:sz w:val="24"/>
          <w:szCs w:val="24"/>
        </w:rPr>
        <w:t>t.y</w:t>
      </w:r>
      <w:proofErr w:type="spellEnd"/>
      <w:r w:rsidR="003551C9" w:rsidRPr="00745C96">
        <w:rPr>
          <w:rFonts w:ascii="Times New Roman" w:hAnsi="Times New Roman" w:cs="Times New Roman"/>
          <w:sz w:val="24"/>
          <w:szCs w:val="24"/>
        </w:rPr>
        <w:t xml:space="preserve">. skiriant </w:t>
      </w:r>
      <w:r w:rsidR="00D764F3" w:rsidRPr="00745C96">
        <w:rPr>
          <w:rFonts w:ascii="Times New Roman" w:hAnsi="Times New Roman" w:cs="Times New Roman"/>
          <w:sz w:val="24"/>
          <w:szCs w:val="24"/>
        </w:rPr>
        <w:t>finans</w:t>
      </w:r>
      <w:r w:rsidR="003551C9" w:rsidRPr="00745C96">
        <w:rPr>
          <w:rFonts w:ascii="Times New Roman" w:hAnsi="Times New Roman" w:cs="Times New Roman"/>
          <w:sz w:val="24"/>
          <w:szCs w:val="24"/>
        </w:rPr>
        <w:t>avimą</w:t>
      </w:r>
      <w:r w:rsidR="00D764F3" w:rsidRPr="00745C96">
        <w:rPr>
          <w:rFonts w:ascii="Times New Roman" w:hAnsi="Times New Roman" w:cs="Times New Roman"/>
          <w:sz w:val="24"/>
          <w:szCs w:val="24"/>
        </w:rPr>
        <w:t xml:space="preserve"> šiuolaikinių automatizuotų šilumos punktų įsigijim</w:t>
      </w:r>
      <w:r w:rsidR="003551C9" w:rsidRPr="00745C96">
        <w:rPr>
          <w:rFonts w:ascii="Times New Roman" w:hAnsi="Times New Roman" w:cs="Times New Roman"/>
          <w:sz w:val="24"/>
          <w:szCs w:val="24"/>
        </w:rPr>
        <w:t>ui</w:t>
      </w:r>
      <w:r w:rsidR="00D764F3" w:rsidRPr="00745C96">
        <w:rPr>
          <w:rFonts w:ascii="Times New Roman" w:hAnsi="Times New Roman" w:cs="Times New Roman"/>
          <w:sz w:val="24"/>
          <w:szCs w:val="24"/>
        </w:rPr>
        <w:t xml:space="preserve"> ir įrengim</w:t>
      </w:r>
      <w:r w:rsidR="003551C9" w:rsidRPr="00745C96">
        <w:rPr>
          <w:rFonts w:ascii="Times New Roman" w:hAnsi="Times New Roman" w:cs="Times New Roman"/>
          <w:sz w:val="24"/>
          <w:szCs w:val="24"/>
        </w:rPr>
        <w:t xml:space="preserve">ui bei kitiems </w:t>
      </w:r>
      <w:r w:rsidR="00D764F3" w:rsidRPr="00745C96">
        <w:rPr>
          <w:rFonts w:ascii="Times New Roman" w:hAnsi="Times New Roman" w:cs="Times New Roman"/>
          <w:sz w:val="24"/>
          <w:szCs w:val="24"/>
        </w:rPr>
        <w:t>kašt</w:t>
      </w:r>
      <w:r w:rsidR="003551C9" w:rsidRPr="00745C96">
        <w:rPr>
          <w:rFonts w:ascii="Times New Roman" w:hAnsi="Times New Roman" w:cs="Times New Roman"/>
          <w:sz w:val="24"/>
          <w:szCs w:val="24"/>
        </w:rPr>
        <w:t xml:space="preserve">ams, susijusiems su </w:t>
      </w:r>
      <w:r w:rsidR="004625AA" w:rsidRPr="00D108AD">
        <w:rPr>
          <w:rFonts w:ascii="Times New Roman" w:hAnsi="Times New Roman" w:cs="Times New Roman"/>
          <w:sz w:val="24"/>
          <w:szCs w:val="24"/>
        </w:rPr>
        <w:t>pastatų</w:t>
      </w:r>
      <w:r w:rsidR="004625AA">
        <w:rPr>
          <w:rFonts w:ascii="Times New Roman" w:hAnsi="Times New Roman" w:cs="Times New Roman"/>
          <w:sz w:val="24"/>
          <w:szCs w:val="24"/>
        </w:rPr>
        <w:t xml:space="preserve"> </w:t>
      </w:r>
      <w:r w:rsidR="005B05A0">
        <w:rPr>
          <w:rFonts w:ascii="Times New Roman" w:hAnsi="Times New Roman" w:cs="Times New Roman"/>
          <w:sz w:val="24"/>
          <w:szCs w:val="24"/>
        </w:rPr>
        <w:t xml:space="preserve">vidaus </w:t>
      </w:r>
      <w:r w:rsidR="00822B07" w:rsidRPr="00745C96">
        <w:rPr>
          <w:rFonts w:ascii="Times New Roman" w:hAnsi="Times New Roman" w:cs="Times New Roman"/>
          <w:sz w:val="24"/>
          <w:szCs w:val="24"/>
        </w:rPr>
        <w:t>šildymo, karšto vandens sistemų pritaikym</w:t>
      </w:r>
      <w:r w:rsidR="003551C9" w:rsidRPr="00745C96">
        <w:rPr>
          <w:rFonts w:ascii="Times New Roman" w:hAnsi="Times New Roman" w:cs="Times New Roman"/>
          <w:sz w:val="24"/>
          <w:szCs w:val="24"/>
        </w:rPr>
        <w:t xml:space="preserve">u </w:t>
      </w:r>
      <w:r w:rsidR="00822B07" w:rsidRPr="00745C96">
        <w:rPr>
          <w:rFonts w:ascii="Times New Roman" w:hAnsi="Times New Roman" w:cs="Times New Roman"/>
          <w:sz w:val="24"/>
          <w:szCs w:val="24"/>
        </w:rPr>
        <w:t>šilumos punkte</w:t>
      </w:r>
      <w:r w:rsidR="005B05A0">
        <w:rPr>
          <w:rFonts w:ascii="Times New Roman" w:hAnsi="Times New Roman" w:cs="Times New Roman"/>
          <w:sz w:val="24"/>
          <w:szCs w:val="24"/>
        </w:rPr>
        <w:t>.</w:t>
      </w:r>
      <w:r w:rsidR="004625AA">
        <w:rPr>
          <w:rFonts w:ascii="Times New Roman" w:hAnsi="Times New Roman" w:cs="Times New Roman"/>
          <w:sz w:val="24"/>
          <w:szCs w:val="24"/>
        </w:rPr>
        <w:t xml:space="preserve"> </w:t>
      </w:r>
      <w:r w:rsidR="004625AA" w:rsidRPr="00D108AD">
        <w:rPr>
          <w:rFonts w:ascii="Times New Roman" w:hAnsi="Times New Roman" w:cs="Times New Roman"/>
          <w:sz w:val="24"/>
          <w:szCs w:val="24"/>
        </w:rPr>
        <w:t>Šilumos tiekėjas negali investuoti viešųjų lėšų į svetimo turto vienetą.</w:t>
      </w:r>
    </w:p>
    <w:p w14:paraId="1A24CB17" w14:textId="591CD259" w:rsidR="00D37E75" w:rsidRPr="00745C96" w:rsidRDefault="00D37E75" w:rsidP="00DD1A59">
      <w:pPr>
        <w:spacing w:after="120" w:line="240" w:lineRule="auto"/>
        <w:ind w:firstLine="567"/>
        <w:jc w:val="both"/>
        <w:rPr>
          <w:rFonts w:ascii="Times New Roman" w:hAnsi="Times New Roman" w:cs="Times New Roman"/>
          <w:sz w:val="24"/>
          <w:szCs w:val="24"/>
        </w:rPr>
      </w:pPr>
      <w:r w:rsidRPr="00745C96">
        <w:rPr>
          <w:rFonts w:ascii="Times New Roman" w:hAnsi="Times New Roman" w:cs="Times New Roman"/>
          <w:sz w:val="24"/>
          <w:szCs w:val="24"/>
          <w:lang w:eastAsia="lt-LT"/>
        </w:rPr>
        <w:t>Pažymėtina</w:t>
      </w:r>
      <w:r w:rsidR="002C222B" w:rsidRPr="00745C96">
        <w:rPr>
          <w:rFonts w:ascii="Times New Roman" w:hAnsi="Times New Roman" w:cs="Times New Roman"/>
          <w:sz w:val="24"/>
          <w:szCs w:val="24"/>
          <w:lang w:eastAsia="lt-LT"/>
        </w:rPr>
        <w:t>,</w:t>
      </w:r>
      <w:r w:rsidRPr="00745C96">
        <w:rPr>
          <w:rFonts w:ascii="Times New Roman" w:hAnsi="Times New Roman" w:cs="Times New Roman"/>
          <w:sz w:val="24"/>
          <w:szCs w:val="24"/>
          <w:lang w:eastAsia="lt-LT"/>
        </w:rPr>
        <w:t xml:space="preserve"> jog </w:t>
      </w:r>
      <w:r w:rsidRPr="00745C96">
        <w:rPr>
          <w:rFonts w:ascii="Times New Roman" w:hAnsi="Times New Roman" w:cs="Times New Roman"/>
          <w:sz w:val="24"/>
          <w:szCs w:val="24"/>
        </w:rPr>
        <w:t xml:space="preserve">Nacionaliniame oro taršos mažinimo plano įgyvendinimo priemonių plane </w:t>
      </w:r>
      <w:r w:rsidR="0025662F" w:rsidRPr="00745C96">
        <w:rPr>
          <w:rFonts w:ascii="Times New Roman" w:hAnsi="Times New Roman" w:cs="Times New Roman"/>
          <w:sz w:val="24"/>
          <w:szCs w:val="24"/>
        </w:rPr>
        <w:t>(TAR, 2019-04-26, Nr. 6860)</w:t>
      </w:r>
      <w:r w:rsidR="005B05A0">
        <w:rPr>
          <w:rFonts w:ascii="Times New Roman" w:hAnsi="Times New Roman" w:cs="Times New Roman"/>
          <w:sz w:val="24"/>
          <w:szCs w:val="24"/>
        </w:rPr>
        <w:t xml:space="preserve"> </w:t>
      </w:r>
      <w:r w:rsidRPr="00745C96">
        <w:rPr>
          <w:rFonts w:ascii="Times New Roman" w:eastAsia="Times New Roman" w:hAnsi="Times New Roman" w:cs="Times New Roman"/>
          <w:sz w:val="24"/>
          <w:szCs w:val="24"/>
        </w:rPr>
        <w:t xml:space="preserve">iškeltas labai aiškus uždavinys sumažinti taršą smulkiosiomis kietosiomis dalelėmis, didžiausią dėmesį skiriant taršos mažinimui iš </w:t>
      </w:r>
      <w:r w:rsidR="00A440CC" w:rsidRPr="00745C96">
        <w:rPr>
          <w:rFonts w:ascii="Times New Roman" w:eastAsia="Times New Roman" w:hAnsi="Times New Roman" w:cs="Times New Roman"/>
          <w:sz w:val="24"/>
          <w:szCs w:val="24"/>
        </w:rPr>
        <w:t xml:space="preserve">decentralizuotai besišildančių </w:t>
      </w:r>
      <w:r w:rsidRPr="00745C96">
        <w:rPr>
          <w:rFonts w:ascii="Times New Roman" w:eastAsia="Times New Roman" w:hAnsi="Times New Roman" w:cs="Times New Roman"/>
          <w:sz w:val="24"/>
          <w:szCs w:val="24"/>
        </w:rPr>
        <w:t xml:space="preserve">namų ūkių. Tam tikslui numatyta </w:t>
      </w:r>
      <w:r w:rsidR="00974CF6" w:rsidRPr="00745C96">
        <w:rPr>
          <w:rFonts w:ascii="Times New Roman" w:eastAsia="Times New Roman" w:hAnsi="Times New Roman" w:cs="Times New Roman"/>
          <w:sz w:val="24"/>
          <w:szCs w:val="24"/>
        </w:rPr>
        <w:t>viena iš priemonių</w:t>
      </w:r>
      <w:r w:rsidR="00132EED" w:rsidRPr="00745C96">
        <w:rPr>
          <w:rFonts w:ascii="Times New Roman" w:eastAsia="Times New Roman" w:hAnsi="Times New Roman" w:cs="Times New Roman"/>
          <w:sz w:val="24"/>
          <w:szCs w:val="24"/>
        </w:rPr>
        <w:t xml:space="preserve"> </w:t>
      </w:r>
      <w:r w:rsidRPr="00745C96">
        <w:rPr>
          <w:rFonts w:ascii="Times New Roman" w:eastAsia="Times New Roman" w:hAnsi="Times New Roman" w:cs="Times New Roman"/>
          <w:sz w:val="24"/>
          <w:szCs w:val="24"/>
        </w:rPr>
        <w:t>skatin</w:t>
      </w:r>
      <w:r w:rsidR="00132EED" w:rsidRPr="00745C96">
        <w:rPr>
          <w:rFonts w:ascii="Times New Roman" w:eastAsia="Times New Roman" w:hAnsi="Times New Roman" w:cs="Times New Roman"/>
          <w:sz w:val="24"/>
          <w:szCs w:val="24"/>
        </w:rPr>
        <w:t>t</w:t>
      </w:r>
      <w:r w:rsidR="0025662F">
        <w:rPr>
          <w:rFonts w:ascii="Times New Roman" w:eastAsia="Times New Roman" w:hAnsi="Times New Roman" w:cs="Times New Roman"/>
          <w:sz w:val="24"/>
          <w:szCs w:val="24"/>
        </w:rPr>
        <w:t>i</w:t>
      </w:r>
      <w:r w:rsidRPr="00745C96">
        <w:rPr>
          <w:rFonts w:ascii="Times New Roman" w:eastAsia="Times New Roman" w:hAnsi="Times New Roman" w:cs="Times New Roman"/>
          <w:sz w:val="24"/>
          <w:szCs w:val="24"/>
        </w:rPr>
        <w:t xml:space="preserve"> namų ūkius jungtis prie CŠT sistemų</w:t>
      </w:r>
      <w:r w:rsidR="004625AA">
        <w:rPr>
          <w:rFonts w:ascii="Times New Roman" w:eastAsia="Times New Roman" w:hAnsi="Times New Roman" w:cs="Times New Roman"/>
          <w:sz w:val="24"/>
          <w:szCs w:val="24"/>
        </w:rPr>
        <w:t xml:space="preserve">, </w:t>
      </w:r>
      <w:r w:rsidR="004625AA" w:rsidRPr="00D108AD">
        <w:rPr>
          <w:rFonts w:ascii="Times New Roman" w:eastAsia="Times New Roman" w:hAnsi="Times New Roman" w:cs="Times New Roman"/>
          <w:sz w:val="24"/>
          <w:szCs w:val="24"/>
        </w:rPr>
        <w:t>kurios užtikrina ypatingai aukštus aplinkosauginius standartus</w:t>
      </w:r>
      <w:r w:rsidR="004625AA">
        <w:rPr>
          <w:rFonts w:ascii="Times New Roman" w:eastAsia="Times New Roman" w:hAnsi="Times New Roman" w:cs="Times New Roman"/>
          <w:sz w:val="24"/>
          <w:szCs w:val="24"/>
        </w:rPr>
        <w:t xml:space="preserve">, </w:t>
      </w:r>
      <w:r w:rsidRPr="00745C96">
        <w:rPr>
          <w:rFonts w:ascii="Times New Roman" w:eastAsia="Times New Roman" w:hAnsi="Times New Roman" w:cs="Times New Roman"/>
          <w:sz w:val="24"/>
          <w:szCs w:val="24"/>
        </w:rPr>
        <w:t xml:space="preserve"> laikotarpiu nuo 2021 iki 2029 metų, skiriant 20 mln. </w:t>
      </w:r>
      <w:proofErr w:type="spellStart"/>
      <w:r w:rsidRPr="00745C96">
        <w:rPr>
          <w:rFonts w:ascii="Times New Roman" w:eastAsia="Times New Roman" w:hAnsi="Times New Roman" w:cs="Times New Roman"/>
          <w:sz w:val="24"/>
          <w:szCs w:val="24"/>
        </w:rPr>
        <w:t>eur</w:t>
      </w:r>
      <w:proofErr w:type="spellEnd"/>
      <w:r w:rsidRPr="00745C96">
        <w:rPr>
          <w:rFonts w:ascii="Times New Roman" w:eastAsia="Times New Roman" w:hAnsi="Times New Roman" w:cs="Times New Roman"/>
          <w:sz w:val="24"/>
          <w:szCs w:val="24"/>
        </w:rPr>
        <w:t xml:space="preserve"> paramą</w:t>
      </w:r>
      <w:r w:rsidR="0079787E">
        <w:rPr>
          <w:rStyle w:val="FootnoteReference"/>
          <w:rFonts w:ascii="Times New Roman" w:eastAsia="Times New Roman" w:hAnsi="Times New Roman" w:cs="Times New Roman"/>
          <w:sz w:val="24"/>
          <w:szCs w:val="24"/>
        </w:rPr>
        <w:footnoteReference w:id="2"/>
      </w:r>
      <w:r w:rsidR="0079787E">
        <w:rPr>
          <w:rFonts w:ascii="Times New Roman" w:eastAsia="Times New Roman" w:hAnsi="Times New Roman" w:cs="Times New Roman"/>
          <w:sz w:val="24"/>
          <w:szCs w:val="24"/>
        </w:rPr>
        <w:t>.</w:t>
      </w:r>
      <w:r w:rsidR="004625AA">
        <w:rPr>
          <w:rFonts w:ascii="Times New Roman" w:eastAsia="Times New Roman" w:hAnsi="Times New Roman" w:cs="Times New Roman"/>
          <w:sz w:val="24"/>
          <w:szCs w:val="24"/>
        </w:rPr>
        <w:t xml:space="preserve"> </w:t>
      </w:r>
      <w:r w:rsidR="004625AA" w:rsidRPr="00D108AD">
        <w:rPr>
          <w:rFonts w:ascii="Times New Roman" w:eastAsia="Times New Roman" w:hAnsi="Times New Roman" w:cs="Times New Roman"/>
          <w:sz w:val="24"/>
          <w:szCs w:val="24"/>
        </w:rPr>
        <w:t>Pastatų šildymo sistemų pritaikym</w:t>
      </w:r>
      <w:r w:rsidR="00E90ECB" w:rsidRPr="00D108AD">
        <w:rPr>
          <w:rFonts w:ascii="Times New Roman" w:eastAsia="Times New Roman" w:hAnsi="Times New Roman" w:cs="Times New Roman"/>
          <w:sz w:val="24"/>
          <w:szCs w:val="24"/>
        </w:rPr>
        <w:t>o</w:t>
      </w:r>
      <w:r w:rsidR="004625AA" w:rsidRPr="00D108AD">
        <w:rPr>
          <w:rFonts w:ascii="Times New Roman" w:eastAsia="Times New Roman" w:hAnsi="Times New Roman" w:cs="Times New Roman"/>
          <w:sz w:val="24"/>
          <w:szCs w:val="24"/>
        </w:rPr>
        <w:t xml:space="preserve"> prisijungimui prie CŠT sistemų </w:t>
      </w:r>
      <w:r w:rsidR="00E90ECB" w:rsidRPr="00D108AD">
        <w:rPr>
          <w:rFonts w:ascii="Times New Roman" w:eastAsia="Times New Roman" w:hAnsi="Times New Roman" w:cs="Times New Roman"/>
          <w:sz w:val="24"/>
          <w:szCs w:val="24"/>
        </w:rPr>
        <w:t xml:space="preserve">išlaidos </w:t>
      </w:r>
      <w:r w:rsidR="004625AA" w:rsidRPr="00D108AD">
        <w:rPr>
          <w:rFonts w:ascii="Times New Roman" w:eastAsia="Times New Roman" w:hAnsi="Times New Roman" w:cs="Times New Roman"/>
          <w:sz w:val="24"/>
          <w:szCs w:val="24"/>
        </w:rPr>
        <w:t>yra dažn</w:t>
      </w:r>
      <w:r w:rsidR="00E90ECB" w:rsidRPr="00D108AD">
        <w:rPr>
          <w:rFonts w:ascii="Times New Roman" w:eastAsia="Times New Roman" w:hAnsi="Times New Roman" w:cs="Times New Roman"/>
          <w:sz w:val="24"/>
          <w:szCs w:val="24"/>
        </w:rPr>
        <w:t>iausia kliūtis</w:t>
      </w:r>
      <w:r w:rsidR="00D108AD" w:rsidRPr="00D108AD">
        <w:rPr>
          <w:rFonts w:ascii="Times New Roman" w:eastAsia="Times New Roman" w:hAnsi="Times New Roman" w:cs="Times New Roman"/>
          <w:sz w:val="24"/>
          <w:szCs w:val="24"/>
        </w:rPr>
        <w:t>,</w:t>
      </w:r>
      <w:r w:rsidR="00E90ECB" w:rsidRPr="00D108AD">
        <w:rPr>
          <w:rFonts w:ascii="Times New Roman" w:eastAsia="Times New Roman" w:hAnsi="Times New Roman" w:cs="Times New Roman"/>
          <w:sz w:val="24"/>
          <w:szCs w:val="24"/>
        </w:rPr>
        <w:t xml:space="preserve"> renkantis šį šildymo būdą.</w:t>
      </w:r>
      <w:r w:rsidR="00E90ECB">
        <w:rPr>
          <w:rFonts w:ascii="Times New Roman" w:eastAsia="Times New Roman" w:hAnsi="Times New Roman" w:cs="Times New Roman"/>
          <w:sz w:val="24"/>
          <w:szCs w:val="24"/>
        </w:rPr>
        <w:t xml:space="preserve"> </w:t>
      </w:r>
      <w:r w:rsidR="004625AA">
        <w:rPr>
          <w:rFonts w:ascii="Times New Roman" w:eastAsia="Times New Roman" w:hAnsi="Times New Roman" w:cs="Times New Roman"/>
          <w:sz w:val="24"/>
          <w:szCs w:val="24"/>
        </w:rPr>
        <w:t xml:space="preserve">  </w:t>
      </w:r>
    </w:p>
    <w:p w14:paraId="2930B63A" w14:textId="77777777" w:rsidR="00E90ECB" w:rsidRDefault="00B7503A" w:rsidP="00DD1A59">
      <w:pPr>
        <w:spacing w:after="120" w:line="240" w:lineRule="auto"/>
        <w:ind w:firstLine="851"/>
        <w:jc w:val="both"/>
        <w:rPr>
          <w:rFonts w:ascii="Times New Roman" w:hAnsi="Times New Roman" w:cs="Times New Roman"/>
          <w:sz w:val="24"/>
          <w:szCs w:val="24"/>
        </w:rPr>
      </w:pPr>
      <w:r w:rsidRPr="00745C96">
        <w:rPr>
          <w:rFonts w:ascii="Times New Roman" w:hAnsi="Times New Roman" w:cs="Times New Roman"/>
          <w:sz w:val="24"/>
          <w:szCs w:val="24"/>
        </w:rPr>
        <w:t xml:space="preserve">Iki šiol valstybės pagalba, prijungiant naujus vartotojus, buvo teikiama tik naujų šilumos vamzdynų tiesimui, </w:t>
      </w:r>
      <w:proofErr w:type="spellStart"/>
      <w:r w:rsidRPr="00745C96">
        <w:rPr>
          <w:rFonts w:ascii="Times New Roman" w:hAnsi="Times New Roman" w:cs="Times New Roman"/>
          <w:sz w:val="24"/>
          <w:szCs w:val="24"/>
        </w:rPr>
        <w:t>t.y</w:t>
      </w:r>
      <w:proofErr w:type="spellEnd"/>
      <w:r w:rsidRPr="00745C96">
        <w:rPr>
          <w:rFonts w:ascii="Times New Roman" w:hAnsi="Times New Roman" w:cs="Times New Roman"/>
          <w:sz w:val="24"/>
          <w:szCs w:val="24"/>
        </w:rPr>
        <w:t>. iki pastato įvado</w:t>
      </w:r>
      <w:r w:rsidR="004E7C80" w:rsidRPr="00745C96">
        <w:rPr>
          <w:rFonts w:ascii="Times New Roman" w:hAnsi="Times New Roman" w:cs="Times New Roman"/>
          <w:sz w:val="24"/>
          <w:szCs w:val="24"/>
        </w:rPr>
        <w:t xml:space="preserve"> </w:t>
      </w:r>
      <w:r w:rsidR="004E7C80" w:rsidRPr="00745C96">
        <w:rPr>
          <w:rFonts w:ascii="Times New Roman" w:hAnsi="Times New Roman" w:cs="Times New Roman"/>
          <w:color w:val="000000" w:themeColor="text1"/>
          <w:sz w:val="24"/>
          <w:szCs w:val="24"/>
        </w:rPr>
        <w:t xml:space="preserve">(pagal </w:t>
      </w:r>
      <w:r w:rsidR="004E7C80" w:rsidRPr="00745C96">
        <w:rPr>
          <w:rFonts w:ascii="Times New Roman" w:eastAsia="Andale Sans UI" w:hAnsi="Times New Roman" w:cs="Times New Roman"/>
          <w:color w:val="000000" w:themeColor="text1"/>
          <w:sz w:val="24"/>
          <w:szCs w:val="24"/>
        </w:rPr>
        <w:t>2014–2020 metų Europos Sąjungos fondų investicijų veiksmų programos 4 prioriteto „Energijos efektyvumo ir atsinaujinančių išteklių energijos gamybos ir naudojimo skatinimas“ 04.3.2-LVPA-K-102 priemonės „Šilumos tiekimo tinklų modernizavimas ir plėtra“ finansavimo schemą)</w:t>
      </w:r>
      <w:r w:rsidR="00543DBC" w:rsidRPr="00745C96">
        <w:rPr>
          <w:rFonts w:ascii="Times New Roman" w:hAnsi="Times New Roman" w:cs="Times New Roman"/>
          <w:sz w:val="24"/>
          <w:szCs w:val="24"/>
        </w:rPr>
        <w:t>,</w:t>
      </w:r>
      <w:r w:rsidRPr="00745C96">
        <w:rPr>
          <w:rFonts w:ascii="Times New Roman" w:hAnsi="Times New Roman" w:cs="Times New Roman"/>
          <w:sz w:val="24"/>
          <w:szCs w:val="24"/>
        </w:rPr>
        <w:t xml:space="preserve"> tačiau</w:t>
      </w:r>
      <w:r w:rsidR="00543DBC" w:rsidRPr="00745C96">
        <w:rPr>
          <w:rFonts w:ascii="Times New Roman" w:hAnsi="Times New Roman" w:cs="Times New Roman"/>
          <w:sz w:val="24"/>
          <w:szCs w:val="24"/>
        </w:rPr>
        <w:t xml:space="preserve"> šilumos </w:t>
      </w:r>
      <w:r w:rsidR="004E7C80" w:rsidRPr="00745C96">
        <w:rPr>
          <w:rFonts w:ascii="Times New Roman" w:hAnsi="Times New Roman" w:cs="Times New Roman"/>
          <w:sz w:val="24"/>
          <w:szCs w:val="24"/>
        </w:rPr>
        <w:t xml:space="preserve">punktų ir įrenginių </w:t>
      </w:r>
      <w:r w:rsidR="00543DBC" w:rsidRPr="00745C96">
        <w:rPr>
          <w:rFonts w:ascii="Times New Roman" w:hAnsi="Times New Roman" w:cs="Times New Roman"/>
          <w:sz w:val="24"/>
          <w:szCs w:val="24"/>
        </w:rPr>
        <w:t xml:space="preserve">projektavimo, įsigijimo, montavimo ir prijungimo darbus pagal teisės aktų reikalavimus ir jas atitinkantį projektą vartotojai </w:t>
      </w:r>
      <w:r w:rsidR="00745C96" w:rsidRPr="00745C96">
        <w:rPr>
          <w:rFonts w:ascii="Times New Roman" w:hAnsi="Times New Roman" w:cs="Times New Roman"/>
          <w:sz w:val="24"/>
          <w:szCs w:val="24"/>
        </w:rPr>
        <w:t xml:space="preserve">atlikdavo ir iki šiol </w:t>
      </w:r>
      <w:r w:rsidR="00543DBC" w:rsidRPr="00745C96">
        <w:rPr>
          <w:rFonts w:ascii="Times New Roman" w:hAnsi="Times New Roman" w:cs="Times New Roman"/>
          <w:sz w:val="24"/>
          <w:szCs w:val="24"/>
        </w:rPr>
        <w:t xml:space="preserve">atlieka savo lėšomis. Praktika rodo, kad taršiausi CŠT teritorijose esantys </w:t>
      </w:r>
      <w:r w:rsidR="00E90ECB" w:rsidRPr="00D108AD">
        <w:rPr>
          <w:rFonts w:ascii="Times New Roman" w:hAnsi="Times New Roman" w:cs="Times New Roman"/>
          <w:sz w:val="24"/>
          <w:szCs w:val="24"/>
        </w:rPr>
        <w:t>vietinio šildymo</w:t>
      </w:r>
      <w:r w:rsidR="00E90ECB">
        <w:rPr>
          <w:rFonts w:ascii="Times New Roman" w:hAnsi="Times New Roman" w:cs="Times New Roman"/>
          <w:sz w:val="24"/>
          <w:szCs w:val="24"/>
        </w:rPr>
        <w:t xml:space="preserve"> </w:t>
      </w:r>
      <w:r w:rsidR="00543DBC" w:rsidRPr="00745C96">
        <w:rPr>
          <w:rFonts w:ascii="Times New Roman" w:hAnsi="Times New Roman" w:cs="Times New Roman"/>
          <w:sz w:val="24"/>
          <w:szCs w:val="24"/>
        </w:rPr>
        <w:t xml:space="preserve">vartotojai </w:t>
      </w:r>
      <w:r w:rsidR="00E90ECB">
        <w:rPr>
          <w:rFonts w:ascii="Times New Roman" w:hAnsi="Times New Roman" w:cs="Times New Roman"/>
          <w:sz w:val="24"/>
          <w:szCs w:val="24"/>
        </w:rPr>
        <w:t xml:space="preserve">nėra </w:t>
      </w:r>
      <w:r w:rsidR="00543DBC" w:rsidRPr="00745C96">
        <w:rPr>
          <w:rFonts w:ascii="Times New Roman" w:hAnsi="Times New Roman" w:cs="Times New Roman"/>
          <w:sz w:val="24"/>
          <w:szCs w:val="24"/>
        </w:rPr>
        <w:t>suinteresuoti jungtis prie CŠT, nes jiems trūksta finansinių</w:t>
      </w:r>
      <w:r w:rsidR="00E90ECB">
        <w:rPr>
          <w:rFonts w:ascii="Times New Roman" w:hAnsi="Times New Roman" w:cs="Times New Roman"/>
          <w:sz w:val="24"/>
          <w:szCs w:val="24"/>
        </w:rPr>
        <w:t xml:space="preserve"> </w:t>
      </w:r>
      <w:r w:rsidR="00E90ECB" w:rsidRPr="00D108AD">
        <w:rPr>
          <w:rFonts w:ascii="Times New Roman" w:hAnsi="Times New Roman" w:cs="Times New Roman"/>
          <w:sz w:val="24"/>
          <w:szCs w:val="24"/>
        </w:rPr>
        <w:t>išteklių</w:t>
      </w:r>
      <w:r w:rsidR="00E90ECB">
        <w:rPr>
          <w:rFonts w:ascii="Times New Roman" w:hAnsi="Times New Roman" w:cs="Times New Roman"/>
          <w:sz w:val="24"/>
          <w:szCs w:val="24"/>
        </w:rPr>
        <w:t xml:space="preserve"> </w:t>
      </w:r>
      <w:r w:rsidR="00543DBC" w:rsidRPr="00745C96">
        <w:rPr>
          <w:rFonts w:ascii="Times New Roman" w:hAnsi="Times New Roman" w:cs="Times New Roman"/>
          <w:sz w:val="24"/>
          <w:szCs w:val="24"/>
        </w:rPr>
        <w:t>ir socialinių įgūdžių. Todėl s</w:t>
      </w:r>
      <w:r w:rsidR="004E7C80" w:rsidRPr="00745C96">
        <w:rPr>
          <w:rFonts w:ascii="Times New Roman" w:hAnsi="Times New Roman" w:cs="Times New Roman"/>
          <w:sz w:val="24"/>
          <w:szCs w:val="24"/>
        </w:rPr>
        <w:t xml:space="preserve">katinamasis mechanizmas </w:t>
      </w:r>
      <w:r w:rsidR="00745C96" w:rsidRPr="00745C96">
        <w:rPr>
          <w:rFonts w:ascii="Times New Roman" w:hAnsi="Times New Roman" w:cs="Times New Roman"/>
          <w:sz w:val="24"/>
          <w:szCs w:val="24"/>
        </w:rPr>
        <w:t>yra būtinas</w:t>
      </w:r>
      <w:r w:rsidR="00627073">
        <w:rPr>
          <w:rFonts w:ascii="Times New Roman" w:hAnsi="Times New Roman" w:cs="Times New Roman"/>
          <w:sz w:val="24"/>
          <w:szCs w:val="24"/>
        </w:rPr>
        <w:t>.</w:t>
      </w:r>
      <w:r w:rsidR="00745C96" w:rsidRPr="00745C96">
        <w:rPr>
          <w:rFonts w:ascii="Times New Roman" w:hAnsi="Times New Roman" w:cs="Times New Roman"/>
          <w:sz w:val="24"/>
          <w:szCs w:val="24"/>
        </w:rPr>
        <w:t xml:space="preserve"> </w:t>
      </w:r>
    </w:p>
    <w:p w14:paraId="47B189FF" w14:textId="77777777" w:rsidR="00420764" w:rsidRDefault="00E90ECB" w:rsidP="00DD1A59">
      <w:pPr>
        <w:spacing w:after="120" w:line="240" w:lineRule="auto"/>
        <w:ind w:firstLine="851"/>
        <w:jc w:val="both"/>
        <w:rPr>
          <w:rFonts w:ascii="Times New Roman" w:hAnsi="Times New Roman" w:cs="Times New Roman"/>
          <w:sz w:val="24"/>
          <w:szCs w:val="24"/>
        </w:rPr>
      </w:pPr>
      <w:r w:rsidRPr="00D108AD">
        <w:rPr>
          <w:rFonts w:ascii="Times New Roman" w:hAnsi="Times New Roman" w:cs="Times New Roman"/>
          <w:sz w:val="24"/>
          <w:szCs w:val="24"/>
        </w:rPr>
        <w:t xml:space="preserve">Pažymėtina, kad vykstant „taškinei“ renovacijai neįmanoma </w:t>
      </w:r>
      <w:r w:rsidR="0011422C" w:rsidRPr="00D108AD">
        <w:rPr>
          <w:rFonts w:ascii="Times New Roman" w:hAnsi="Times New Roman" w:cs="Times New Roman"/>
          <w:sz w:val="24"/>
          <w:szCs w:val="24"/>
        </w:rPr>
        <w:t xml:space="preserve">skubiai </w:t>
      </w:r>
      <w:r w:rsidRPr="00D108AD">
        <w:rPr>
          <w:rFonts w:ascii="Times New Roman" w:hAnsi="Times New Roman" w:cs="Times New Roman"/>
          <w:sz w:val="24"/>
          <w:szCs w:val="24"/>
        </w:rPr>
        <w:t xml:space="preserve">pakeisti pagrindinės CŠT infrastruktūros ir įrenginių, tad naujų šilumos vartotojų pritraukimas padėtų išlaikyti stabilias šilumos kainas. </w:t>
      </w:r>
      <w:r w:rsidR="00745C96" w:rsidRPr="00D108AD">
        <w:rPr>
          <w:rFonts w:ascii="Times New Roman" w:hAnsi="Times New Roman" w:cs="Times New Roman"/>
          <w:sz w:val="24"/>
          <w:szCs w:val="24"/>
        </w:rPr>
        <w:t xml:space="preserve">Prašome Aplinkos ministeriją </w:t>
      </w:r>
      <w:r w:rsidRPr="00D108AD">
        <w:rPr>
          <w:rFonts w:ascii="Times New Roman" w:hAnsi="Times New Roman" w:cs="Times New Roman"/>
          <w:sz w:val="24"/>
          <w:szCs w:val="24"/>
        </w:rPr>
        <w:t>įvertinti siūlomos skatinimo priemonės taikymo galimybes, art</w:t>
      </w:r>
      <w:r w:rsidR="00745C96" w:rsidRPr="00D108AD">
        <w:rPr>
          <w:rFonts w:ascii="Times New Roman" w:hAnsi="Times New Roman" w:cs="Times New Roman"/>
          <w:sz w:val="24"/>
          <w:szCs w:val="24"/>
        </w:rPr>
        <w:t xml:space="preserve">imiausioje </w:t>
      </w:r>
      <w:r w:rsidRPr="00D108AD">
        <w:rPr>
          <w:rFonts w:ascii="Times New Roman" w:hAnsi="Times New Roman" w:cs="Times New Roman"/>
          <w:sz w:val="24"/>
          <w:szCs w:val="24"/>
        </w:rPr>
        <w:t xml:space="preserve">finansinėje </w:t>
      </w:r>
      <w:r w:rsidR="00745C96" w:rsidRPr="00D108AD">
        <w:rPr>
          <w:rFonts w:ascii="Times New Roman" w:hAnsi="Times New Roman" w:cs="Times New Roman"/>
          <w:sz w:val="24"/>
          <w:szCs w:val="24"/>
        </w:rPr>
        <w:t xml:space="preserve">perspektyvoje </w:t>
      </w:r>
      <w:r w:rsidR="00C20EE4" w:rsidRPr="00D108AD">
        <w:rPr>
          <w:rFonts w:ascii="Times New Roman" w:hAnsi="Times New Roman" w:cs="Times New Roman"/>
          <w:sz w:val="24"/>
          <w:szCs w:val="24"/>
        </w:rPr>
        <w:t xml:space="preserve">numatant </w:t>
      </w:r>
      <w:r w:rsidR="00745C96" w:rsidRPr="00D108AD">
        <w:rPr>
          <w:rFonts w:ascii="Times New Roman" w:hAnsi="Times New Roman" w:cs="Times New Roman"/>
          <w:sz w:val="24"/>
          <w:szCs w:val="24"/>
        </w:rPr>
        <w:t>minėtos priemonės finansavimą</w:t>
      </w:r>
      <w:r w:rsidRPr="00D108AD">
        <w:rPr>
          <w:rFonts w:ascii="Times New Roman" w:hAnsi="Times New Roman" w:cs="Times New Roman"/>
          <w:sz w:val="24"/>
          <w:szCs w:val="24"/>
        </w:rPr>
        <w:t xml:space="preserve">. </w:t>
      </w:r>
    </w:p>
    <w:p w14:paraId="3FEA50E9" w14:textId="41BE96F2" w:rsidR="00976476" w:rsidRPr="00745C96" w:rsidRDefault="00E90ECB" w:rsidP="00DD1A59">
      <w:pPr>
        <w:spacing w:after="120" w:line="240" w:lineRule="auto"/>
        <w:ind w:firstLine="851"/>
        <w:jc w:val="both"/>
        <w:rPr>
          <w:rFonts w:ascii="Times New Roman" w:hAnsi="Times New Roman" w:cs="Times New Roman"/>
          <w:sz w:val="24"/>
          <w:szCs w:val="24"/>
        </w:rPr>
      </w:pPr>
      <w:r w:rsidRPr="00D108AD">
        <w:rPr>
          <w:rFonts w:ascii="Times New Roman" w:hAnsi="Times New Roman" w:cs="Times New Roman"/>
          <w:sz w:val="24"/>
          <w:szCs w:val="24"/>
        </w:rPr>
        <w:t>Esant reikalui, esame pasirengę pateikti detalesnius paaiškinimus.</w:t>
      </w:r>
    </w:p>
    <w:p w14:paraId="24E7BA30" w14:textId="77777777" w:rsidR="0025662F" w:rsidRPr="00AF5F64" w:rsidRDefault="0025662F" w:rsidP="002E1971">
      <w:pPr>
        <w:spacing w:after="240"/>
        <w:rPr>
          <w:rFonts w:cs="Times New Roman"/>
          <w:szCs w:val="24"/>
        </w:rPr>
      </w:pPr>
    </w:p>
    <w:p w14:paraId="390CD4B9" w14:textId="1942223E" w:rsidR="00E5131D" w:rsidRDefault="00E5131D" w:rsidP="002E1971">
      <w:pPr>
        <w:ind w:firstLine="851"/>
        <w:rPr>
          <w:rFonts w:ascii="Times New Roman" w:hAnsi="Times New Roman" w:cs="Times New Roman"/>
          <w:sz w:val="24"/>
          <w:szCs w:val="24"/>
        </w:rPr>
      </w:pPr>
      <w:r w:rsidRPr="00AF5F64">
        <w:rPr>
          <w:rFonts w:ascii="Times New Roman" w:hAnsi="Times New Roman" w:cs="Times New Roman"/>
          <w:sz w:val="24"/>
          <w:szCs w:val="24"/>
        </w:rPr>
        <w:t xml:space="preserve">Prezidentas </w:t>
      </w:r>
      <w:r w:rsidRPr="00AF5F64">
        <w:rPr>
          <w:rFonts w:ascii="Times New Roman" w:hAnsi="Times New Roman" w:cs="Times New Roman"/>
          <w:sz w:val="24"/>
          <w:szCs w:val="24"/>
        </w:rPr>
        <w:tab/>
      </w:r>
      <w:r w:rsidRPr="00AF5F64">
        <w:rPr>
          <w:rFonts w:ascii="Times New Roman" w:hAnsi="Times New Roman" w:cs="Times New Roman"/>
          <w:sz w:val="24"/>
          <w:szCs w:val="24"/>
        </w:rPr>
        <w:tab/>
      </w:r>
      <w:r w:rsidRPr="00AF5F64">
        <w:rPr>
          <w:rFonts w:ascii="Times New Roman" w:hAnsi="Times New Roman" w:cs="Times New Roman"/>
          <w:sz w:val="24"/>
          <w:szCs w:val="24"/>
        </w:rPr>
        <w:tab/>
      </w:r>
      <w:r w:rsidRPr="00AF5F64">
        <w:rPr>
          <w:rFonts w:ascii="Times New Roman" w:hAnsi="Times New Roman" w:cs="Times New Roman"/>
          <w:sz w:val="24"/>
          <w:szCs w:val="24"/>
        </w:rPr>
        <w:tab/>
      </w:r>
      <w:r w:rsidR="006D18B2" w:rsidRPr="00AF5F64">
        <w:rPr>
          <w:rFonts w:ascii="Times New Roman" w:hAnsi="Times New Roman" w:cs="Times New Roman"/>
          <w:sz w:val="24"/>
          <w:szCs w:val="24"/>
        </w:rPr>
        <w:t xml:space="preserve">dr. </w:t>
      </w:r>
      <w:r w:rsidRPr="00AF5F64">
        <w:rPr>
          <w:rFonts w:ascii="Times New Roman" w:hAnsi="Times New Roman" w:cs="Times New Roman"/>
          <w:sz w:val="24"/>
          <w:szCs w:val="24"/>
        </w:rPr>
        <w:t>Valdas Lukoševičius</w:t>
      </w:r>
    </w:p>
    <w:p w14:paraId="09DDC870" w14:textId="554FA74D" w:rsidR="00AB78A4" w:rsidRDefault="00AB78A4" w:rsidP="00AB78A4">
      <w:pPr>
        <w:spacing w:line="360" w:lineRule="auto"/>
        <w:rPr>
          <w:rFonts w:ascii="Times New Roman" w:hAnsi="Times New Roman" w:cs="Times New Roman"/>
          <w:sz w:val="24"/>
          <w:szCs w:val="24"/>
        </w:rPr>
      </w:pPr>
    </w:p>
    <w:p w14:paraId="3BC78B26" w14:textId="77777777" w:rsidR="002E1971" w:rsidRDefault="002E1971" w:rsidP="00AB78A4">
      <w:pPr>
        <w:spacing w:line="360" w:lineRule="auto"/>
        <w:rPr>
          <w:rFonts w:ascii="Times New Roman" w:hAnsi="Times New Roman" w:cs="Times New Roman"/>
          <w:sz w:val="24"/>
          <w:szCs w:val="24"/>
        </w:rPr>
      </w:pPr>
    </w:p>
    <w:p w14:paraId="08A214F1" w14:textId="3872834C" w:rsidR="00AB78A4" w:rsidRDefault="00AB78A4" w:rsidP="00AB78A4">
      <w:pPr>
        <w:spacing w:line="360" w:lineRule="auto"/>
        <w:rPr>
          <w:rFonts w:ascii="Times New Roman" w:hAnsi="Times New Roman" w:cs="Times New Roman"/>
          <w:sz w:val="24"/>
          <w:szCs w:val="24"/>
        </w:rPr>
      </w:pPr>
    </w:p>
    <w:p w14:paraId="1C23B9A0" w14:textId="77777777" w:rsidR="00DD1A59" w:rsidRDefault="00DD1A59" w:rsidP="00AB78A4">
      <w:pPr>
        <w:spacing w:line="360" w:lineRule="auto"/>
        <w:rPr>
          <w:rFonts w:ascii="Times New Roman" w:hAnsi="Times New Roman" w:cs="Times New Roman"/>
          <w:sz w:val="24"/>
          <w:szCs w:val="24"/>
        </w:rPr>
      </w:pPr>
    </w:p>
    <w:p w14:paraId="18AA0A23" w14:textId="4E53A68C" w:rsidR="00AB78A4" w:rsidRDefault="00AB78A4" w:rsidP="00AB78A4">
      <w:pPr>
        <w:spacing w:line="360" w:lineRule="auto"/>
        <w:rPr>
          <w:rFonts w:ascii="Times New Roman" w:hAnsi="Times New Roman" w:cs="Times New Roman"/>
          <w:sz w:val="24"/>
          <w:szCs w:val="24"/>
        </w:rPr>
      </w:pPr>
    </w:p>
    <w:p w14:paraId="7A292DC9" w14:textId="03053DFA" w:rsidR="00AB78A4" w:rsidRPr="0064514B" w:rsidRDefault="0079787E" w:rsidP="002566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Gurkliene</w:t>
      </w:r>
      <w:proofErr w:type="spellEnd"/>
      <w:r w:rsidR="00AB78A4" w:rsidRPr="00525648">
        <w:rPr>
          <w:rFonts w:ascii="Times New Roman" w:hAnsi="Times New Roman" w:cs="Times New Roman"/>
          <w:sz w:val="24"/>
          <w:szCs w:val="24"/>
        </w:rPr>
        <w:t xml:space="preserve">, </w:t>
      </w:r>
      <w:r>
        <w:rPr>
          <w:rFonts w:ascii="Times New Roman" w:hAnsi="Times New Roman" w:cs="Times New Roman"/>
          <w:sz w:val="24"/>
          <w:szCs w:val="24"/>
        </w:rPr>
        <w:t xml:space="preserve">, tel. (85) 2667097, el. p.: </w:t>
      </w:r>
      <w:hyperlink r:id="rId9" w:history="1">
        <w:r>
          <w:rPr>
            <w:rStyle w:val="Hyperlink"/>
            <w:rFonts w:ascii="Times New Roman" w:hAnsi="Times New Roman" w:cs="Times New Roman"/>
            <w:sz w:val="24"/>
            <w:szCs w:val="24"/>
          </w:rPr>
          <w:t>ramune</w:t>
        </w:r>
        <w:r>
          <w:rPr>
            <w:rStyle w:val="Hyperlink"/>
            <w:rFonts w:ascii="Times New Roman" w:hAnsi="Times New Roman" w:cs="Times New Roman"/>
            <w:sz w:val="24"/>
            <w:szCs w:val="24"/>
            <w:lang w:val="en-US"/>
          </w:rPr>
          <w:t>@lsta.lt</w:t>
        </w:r>
      </w:hyperlink>
      <w:r w:rsidR="00AB78A4">
        <w:rPr>
          <w:rFonts w:ascii="Times New Roman" w:hAnsi="Times New Roman" w:cs="Times New Roman"/>
          <w:sz w:val="24"/>
          <w:szCs w:val="24"/>
        </w:rPr>
        <w:t xml:space="preserve"> </w:t>
      </w:r>
    </w:p>
    <w:sectPr w:rsidR="00AB78A4" w:rsidRPr="0064514B" w:rsidSect="002223E8">
      <w:headerReference w:type="default" r:id="rId10"/>
      <w:pgSz w:w="11906" w:h="16838" w:code="9"/>
      <w:pgMar w:top="851" w:right="851" w:bottom="851" w:left="1418" w:header="22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7E0AC" w14:textId="77777777" w:rsidR="00665EFD" w:rsidRDefault="00665EFD" w:rsidP="007E6C2C">
      <w:pPr>
        <w:spacing w:after="0" w:line="240" w:lineRule="auto"/>
      </w:pPr>
      <w:r>
        <w:separator/>
      </w:r>
    </w:p>
  </w:endnote>
  <w:endnote w:type="continuationSeparator" w:id="0">
    <w:p w14:paraId="739C8426" w14:textId="77777777" w:rsidR="00665EFD" w:rsidRDefault="00665EFD" w:rsidP="007E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auto"/>
    <w:pitch w:val="default"/>
  </w:font>
  <w:font w:name="Gotham Book">
    <w:altName w:val="Calibri"/>
    <w:panose1 w:val="00000000000000000000"/>
    <w:charset w:val="00"/>
    <w:family w:val="auto"/>
    <w:notTrueType/>
    <w:pitch w:val="variable"/>
    <w:sig w:usb0="00000003" w:usb1="00000000" w:usb2="00000000" w:usb3="00000000" w:csb0="0000000B" w:csb1="00000000"/>
  </w:font>
  <w:font w:name="Gotham Pro Regular">
    <w:altName w:val="Calibri"/>
    <w:panose1 w:val="00000000000000000000"/>
    <w:charset w:val="00"/>
    <w:family w:val="auto"/>
    <w:notTrueType/>
    <w:pitch w:val="variable"/>
    <w:sig w:usb0="80000AAF" w:usb1="5000204A" w:usb2="00000000" w:usb3="00000000" w:csb0="0000003F" w:csb1="00000000"/>
  </w:font>
  <w:font w:name="Arial">
    <w:panose1 w:val="020B0604020202020204"/>
    <w:charset w:val="BA"/>
    <w:family w:val="swiss"/>
    <w:pitch w:val="variable"/>
    <w:sig w:usb0="E0002EFF" w:usb1="C000785B" w:usb2="00000009" w:usb3="00000000" w:csb0="000001FF" w:csb1="00000000"/>
  </w:font>
  <w:font w:name="Andale Sans UI">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E4EA4" w14:textId="77777777" w:rsidR="00665EFD" w:rsidRDefault="00665EFD" w:rsidP="007E6C2C">
      <w:pPr>
        <w:spacing w:after="0" w:line="240" w:lineRule="auto"/>
      </w:pPr>
      <w:r>
        <w:separator/>
      </w:r>
    </w:p>
  </w:footnote>
  <w:footnote w:type="continuationSeparator" w:id="0">
    <w:p w14:paraId="52E15FB2" w14:textId="77777777" w:rsidR="00665EFD" w:rsidRDefault="00665EFD" w:rsidP="007E6C2C">
      <w:pPr>
        <w:spacing w:after="0" w:line="240" w:lineRule="auto"/>
      </w:pPr>
      <w:r>
        <w:continuationSeparator/>
      </w:r>
    </w:p>
  </w:footnote>
  <w:footnote w:id="1">
    <w:p w14:paraId="23E5E3DC" w14:textId="77777777" w:rsidR="00745C96" w:rsidRPr="0025662F" w:rsidRDefault="00745C96" w:rsidP="00745C96">
      <w:pPr>
        <w:spacing w:after="0" w:line="240" w:lineRule="auto"/>
        <w:ind w:firstLine="567"/>
        <w:jc w:val="both"/>
        <w:rPr>
          <w:rFonts w:ascii="Times New Roman" w:hAnsi="Times New Roman" w:cs="Times New Roman"/>
          <w:iCs/>
          <w:sz w:val="20"/>
          <w:szCs w:val="20"/>
        </w:rPr>
      </w:pPr>
      <w:r>
        <w:rPr>
          <w:rStyle w:val="FootnoteReference"/>
        </w:rPr>
        <w:footnoteRef/>
      </w:r>
      <w:r>
        <w:t xml:space="preserve"> </w:t>
      </w:r>
      <w:r w:rsidRPr="0025662F">
        <w:rPr>
          <w:rFonts w:ascii="Times New Roman" w:hAnsi="Times New Roman" w:cs="Times New Roman"/>
          <w:iCs/>
          <w:sz w:val="20"/>
          <w:szCs w:val="20"/>
        </w:rPr>
        <w:t>1.2.1.</w:t>
      </w:r>
      <w:r w:rsidRPr="0025662F">
        <w:rPr>
          <w:rFonts w:ascii="Times New Roman" w:hAnsi="Times New Roman" w:cs="Times New Roman"/>
          <w:iCs/>
          <w:sz w:val="20"/>
          <w:szCs w:val="20"/>
        </w:rPr>
        <w:tab/>
        <w:t>Atsinaujinančių energijos išteklių (saulės, vėjo, geoterminės energijos, biokuro ar kitų) panaudojimas visuomeninės ir gyvenamosios (įvairių socialinių grupių asmenims) paskirties pastatuose, kurie nuosavybės teise priklauso valstybei, savivaldybėms, tradicinėms religinėms bendruomenėms, religinėms bendrijoms ar centrams</w:t>
      </w:r>
    </w:p>
    <w:p w14:paraId="45632AF0" w14:textId="77777777" w:rsidR="00745C96" w:rsidRPr="0025662F" w:rsidRDefault="00745C96" w:rsidP="00745C96">
      <w:pPr>
        <w:spacing w:after="0" w:line="240" w:lineRule="auto"/>
        <w:ind w:firstLine="567"/>
        <w:jc w:val="both"/>
        <w:rPr>
          <w:rFonts w:ascii="Times New Roman" w:hAnsi="Times New Roman" w:cs="Times New Roman"/>
          <w:iCs/>
          <w:sz w:val="20"/>
          <w:szCs w:val="20"/>
        </w:rPr>
      </w:pPr>
      <w:r w:rsidRPr="0025662F">
        <w:rPr>
          <w:rFonts w:ascii="Times New Roman" w:hAnsi="Times New Roman" w:cs="Times New Roman"/>
          <w:iCs/>
          <w:sz w:val="20"/>
          <w:szCs w:val="20"/>
        </w:rPr>
        <w:t>1.2.2.</w:t>
      </w:r>
      <w:r w:rsidRPr="0025662F">
        <w:rPr>
          <w:rFonts w:ascii="Times New Roman" w:hAnsi="Times New Roman" w:cs="Times New Roman"/>
          <w:iCs/>
          <w:sz w:val="20"/>
          <w:szCs w:val="20"/>
        </w:rPr>
        <w:tab/>
        <w:t>Atsinaujinančių energijos išteklių (saulės, vėjo, geoterminės energijos, biokuro ar kitų) panaudojimas privačių juridinių asmenų visuomeninės, gamybinės paskirties pastatuose, kitos paskirties inžineriniuose statiniuose (sąvartynuose, nuotekų valyklų statiniuose), pakeičiant iškastinio kuro naudojimą“</w:t>
      </w:r>
    </w:p>
    <w:p w14:paraId="4A21D5FB" w14:textId="77777777" w:rsidR="00745C96" w:rsidRPr="0025662F" w:rsidRDefault="00745C96" w:rsidP="00745C96">
      <w:pPr>
        <w:spacing w:after="0" w:line="240" w:lineRule="auto"/>
        <w:ind w:firstLine="567"/>
        <w:jc w:val="both"/>
        <w:rPr>
          <w:rFonts w:ascii="Times New Roman" w:hAnsi="Times New Roman" w:cs="Times New Roman"/>
          <w:iCs/>
          <w:sz w:val="20"/>
          <w:szCs w:val="20"/>
          <w:lang w:eastAsia="en-GB"/>
        </w:rPr>
      </w:pPr>
      <w:r w:rsidRPr="0025662F">
        <w:rPr>
          <w:rFonts w:ascii="Times New Roman" w:hAnsi="Times New Roman" w:cs="Times New Roman"/>
          <w:iCs/>
          <w:sz w:val="20"/>
          <w:szCs w:val="20"/>
          <w:lang w:eastAsia="en-GB"/>
        </w:rPr>
        <w:t>1.2.3 Atsinaujinančių energijos išteklių (t. y. šilumos siurblių: oras-vanduo, žemė-vanduo, vanduo-vanduo; biokuro katilų) panaudojimas fizinių asmenų vieno ar dviejų butų gyvenamuose namuose, pakeičiant iškastinį kurą naudojančius šilumos įrenginius.</w:t>
      </w:r>
    </w:p>
    <w:p w14:paraId="7E7C2D3B" w14:textId="0F1AD242" w:rsidR="00745C96" w:rsidRPr="0025662F" w:rsidRDefault="00745C96" w:rsidP="00745C96">
      <w:pPr>
        <w:spacing w:after="0" w:line="240" w:lineRule="auto"/>
        <w:ind w:firstLine="567"/>
        <w:jc w:val="both"/>
        <w:rPr>
          <w:sz w:val="20"/>
          <w:szCs w:val="20"/>
        </w:rPr>
      </w:pPr>
      <w:r w:rsidRPr="0025662F">
        <w:rPr>
          <w:rFonts w:ascii="Times New Roman" w:hAnsi="Times New Roman" w:cs="Times New Roman"/>
          <w:iCs/>
          <w:sz w:val="20"/>
          <w:szCs w:val="20"/>
          <w:lang w:eastAsia="lt-LT"/>
        </w:rPr>
        <w:t>1.2.6 Saulės energijos technologijų, šilumos siurblių ir šilumos saugyklų panaudojimas šilumos energijai gaminti, karštam vandeniui ruošti, ir (ar) elektros energijai gaminti atnaujintuose (modernizuotuose) daugiabučiuose namuose, neprijungtuose prie centralizuotos šildymo sistemos, siekiant nulinio šiltnamio efektą sukeliančių dujų išmetimo lygio</w:t>
      </w:r>
    </w:p>
  </w:footnote>
  <w:footnote w:id="2">
    <w:p w14:paraId="4B9C7CC1" w14:textId="3726D410" w:rsidR="0079787E" w:rsidRPr="0025662F" w:rsidRDefault="0079787E" w:rsidP="0079787E">
      <w:pPr>
        <w:spacing w:after="120" w:line="240" w:lineRule="auto"/>
        <w:ind w:firstLine="567"/>
        <w:jc w:val="both"/>
        <w:rPr>
          <w:rFonts w:ascii="Times New Roman" w:hAnsi="Times New Roman" w:cs="Times New Roman"/>
          <w:color w:val="000000"/>
          <w:sz w:val="24"/>
          <w:szCs w:val="24"/>
        </w:rPr>
      </w:pPr>
      <w:r>
        <w:rPr>
          <w:rStyle w:val="FootnoteReference"/>
        </w:rPr>
        <w:footnoteRef/>
      </w:r>
      <w:r>
        <w:t xml:space="preserve"> </w:t>
      </w:r>
      <w:r w:rsidRPr="0025662F">
        <w:rPr>
          <w:rFonts w:ascii="Times New Roman" w:hAnsi="Times New Roman" w:cs="Times New Roman"/>
          <w:sz w:val="20"/>
          <w:szCs w:val="20"/>
        </w:rPr>
        <w:t xml:space="preserve">P28: Namų ūkių (būstų) jungimosi prie centralizuoto šilumos tiekimo (toliau –CŠT) sistemos skatinimas. Finansinės paskatos namų ūkiams (būstams), kurie jungiasi prie CŠT sistemos Savivaldybių specialiuosiuose šilumos ūkio planuose numatytoje CŠT zonoje (diferencijuota vienkartinė negrąžinamoji subsidija jungimosi prie CŠT sistemos išlaidoms ir šildymo išlaidoms prisijungus prie CŠT sistemos dalinai kompensuoti).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BD683" w14:textId="05579DC2" w:rsidR="00E16D7B" w:rsidRPr="00723626" w:rsidRDefault="00723626" w:rsidP="00723626">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14E0D"/>
    <w:multiLevelType w:val="hybridMultilevel"/>
    <w:tmpl w:val="46E069F4"/>
    <w:lvl w:ilvl="0" w:tplc="5BD468C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7D0F91"/>
    <w:multiLevelType w:val="hybridMultilevel"/>
    <w:tmpl w:val="4536AC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45040D5"/>
    <w:multiLevelType w:val="hybridMultilevel"/>
    <w:tmpl w:val="B972DDAE"/>
    <w:lvl w:ilvl="0" w:tplc="04270019">
      <w:start w:val="1"/>
      <w:numFmt w:val="low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6292A92"/>
    <w:multiLevelType w:val="hybridMultilevel"/>
    <w:tmpl w:val="9B4E7DDA"/>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273A28"/>
    <w:multiLevelType w:val="hybridMultilevel"/>
    <w:tmpl w:val="DD409B50"/>
    <w:lvl w:ilvl="0" w:tplc="CD20CE22">
      <w:start w:val="1"/>
      <w:numFmt w:val="decimal"/>
      <w:lvlText w:val="%1."/>
      <w:lvlJc w:val="left"/>
      <w:pPr>
        <w:ind w:left="786" w:hanging="360"/>
      </w:pPr>
      <w:rPr>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A9297C"/>
    <w:multiLevelType w:val="hybridMultilevel"/>
    <w:tmpl w:val="09D2F9B6"/>
    <w:lvl w:ilvl="0" w:tplc="879AC06A">
      <w:start w:val="1"/>
      <w:numFmt w:val="low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6E16F9"/>
    <w:multiLevelType w:val="hybridMultilevel"/>
    <w:tmpl w:val="0396FD5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2CB00EEC"/>
    <w:multiLevelType w:val="hybridMultilevel"/>
    <w:tmpl w:val="322AECA8"/>
    <w:lvl w:ilvl="0" w:tplc="0427000F">
      <w:start w:val="1"/>
      <w:numFmt w:val="decimal"/>
      <w:lvlText w:val="%1."/>
      <w:lvlJc w:val="left"/>
      <w:pPr>
        <w:ind w:left="720" w:hanging="360"/>
      </w:p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571A3C"/>
    <w:multiLevelType w:val="hybridMultilevel"/>
    <w:tmpl w:val="6CE064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2E111FE"/>
    <w:multiLevelType w:val="hybridMultilevel"/>
    <w:tmpl w:val="D12872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7764BA"/>
    <w:multiLevelType w:val="hybridMultilevel"/>
    <w:tmpl w:val="60EA442C"/>
    <w:lvl w:ilvl="0" w:tplc="B2B671C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E742FB3"/>
    <w:multiLevelType w:val="hybridMultilevel"/>
    <w:tmpl w:val="3D66E4B8"/>
    <w:lvl w:ilvl="0" w:tplc="0427000F">
      <w:start w:val="1"/>
      <w:numFmt w:val="decimal"/>
      <w:lvlText w:val="%1."/>
      <w:lvlJc w:val="left"/>
      <w:pPr>
        <w:ind w:left="720" w:hanging="360"/>
      </w:p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DD75D3"/>
    <w:multiLevelType w:val="hybridMultilevel"/>
    <w:tmpl w:val="BD26DD16"/>
    <w:lvl w:ilvl="0" w:tplc="04270019">
      <w:start w:val="1"/>
      <w:numFmt w:val="lowerLetter"/>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A8D56B9"/>
    <w:multiLevelType w:val="hybridMultilevel"/>
    <w:tmpl w:val="879627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C552E3D"/>
    <w:multiLevelType w:val="hybridMultilevel"/>
    <w:tmpl w:val="4EB2596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FD6EF7"/>
    <w:multiLevelType w:val="hybridMultilevel"/>
    <w:tmpl w:val="E2F8D57A"/>
    <w:lvl w:ilvl="0" w:tplc="D4B6DDC2">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E400F0C"/>
    <w:multiLevelType w:val="hybridMultilevel"/>
    <w:tmpl w:val="BB32E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631CFE"/>
    <w:multiLevelType w:val="hybridMultilevel"/>
    <w:tmpl w:val="F98C25D0"/>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2BA1E3A"/>
    <w:multiLevelType w:val="hybridMultilevel"/>
    <w:tmpl w:val="B042625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8C3173E"/>
    <w:multiLevelType w:val="hybridMultilevel"/>
    <w:tmpl w:val="AE7EB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3A677B"/>
    <w:multiLevelType w:val="hybridMultilevel"/>
    <w:tmpl w:val="E1761B98"/>
    <w:lvl w:ilvl="0" w:tplc="04270019">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7DC83D4B"/>
    <w:multiLevelType w:val="hybridMultilevel"/>
    <w:tmpl w:val="5446879C"/>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9"/>
  </w:num>
  <w:num w:numId="2">
    <w:abstractNumId w:val="17"/>
  </w:num>
  <w:num w:numId="3">
    <w:abstractNumId w:val="9"/>
  </w:num>
  <w:num w:numId="4">
    <w:abstractNumId w:val="8"/>
  </w:num>
  <w:num w:numId="5">
    <w:abstractNumId w:val="13"/>
  </w:num>
  <w:num w:numId="6">
    <w:abstractNumId w:val="16"/>
  </w:num>
  <w:num w:numId="7">
    <w:abstractNumId w:val="5"/>
  </w:num>
  <w:num w:numId="8">
    <w:abstractNumId w:val="0"/>
  </w:num>
  <w:num w:numId="9">
    <w:abstractNumId w:val="12"/>
  </w:num>
  <w:num w:numId="10">
    <w:abstractNumId w:val="20"/>
  </w:num>
  <w:num w:numId="11">
    <w:abstractNumId w:val="2"/>
  </w:num>
  <w:num w:numId="12">
    <w:abstractNumId w:val="10"/>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4"/>
  </w:num>
  <w:num w:numId="18">
    <w:abstractNumId w:val="18"/>
  </w:num>
  <w:num w:numId="19">
    <w:abstractNumId w:val="21"/>
  </w:num>
  <w:num w:numId="20">
    <w:abstractNumId w:val="7"/>
  </w:num>
  <w:num w:numId="21">
    <w:abstractNumId w:val="11"/>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04"/>
    <w:rsid w:val="000136C7"/>
    <w:rsid w:val="00032B6C"/>
    <w:rsid w:val="00043200"/>
    <w:rsid w:val="00043DB2"/>
    <w:rsid w:val="000472D4"/>
    <w:rsid w:val="000514A9"/>
    <w:rsid w:val="00052413"/>
    <w:rsid w:val="00054A95"/>
    <w:rsid w:val="000668F1"/>
    <w:rsid w:val="00072243"/>
    <w:rsid w:val="00091D6C"/>
    <w:rsid w:val="000940BF"/>
    <w:rsid w:val="000B4D94"/>
    <w:rsid w:val="000B5043"/>
    <w:rsid w:val="000B626D"/>
    <w:rsid w:val="000D022C"/>
    <w:rsid w:val="000D486D"/>
    <w:rsid w:val="000D6FCF"/>
    <w:rsid w:val="000F1737"/>
    <w:rsid w:val="000F4611"/>
    <w:rsid w:val="0011422C"/>
    <w:rsid w:val="00115800"/>
    <w:rsid w:val="00132EED"/>
    <w:rsid w:val="00137BB4"/>
    <w:rsid w:val="00144AC1"/>
    <w:rsid w:val="00161CEA"/>
    <w:rsid w:val="00177D9C"/>
    <w:rsid w:val="001869BF"/>
    <w:rsid w:val="001A19AB"/>
    <w:rsid w:val="001A6F6D"/>
    <w:rsid w:val="001B7A33"/>
    <w:rsid w:val="001C6F67"/>
    <w:rsid w:val="001E1301"/>
    <w:rsid w:val="001F11BB"/>
    <w:rsid w:val="002169F4"/>
    <w:rsid w:val="002223E8"/>
    <w:rsid w:val="002414AC"/>
    <w:rsid w:val="00255B80"/>
    <w:rsid w:val="0025662F"/>
    <w:rsid w:val="002642FA"/>
    <w:rsid w:val="002676D7"/>
    <w:rsid w:val="002909C8"/>
    <w:rsid w:val="002945C0"/>
    <w:rsid w:val="002B23B4"/>
    <w:rsid w:val="002C222B"/>
    <w:rsid w:val="002C7A93"/>
    <w:rsid w:val="002C7EFB"/>
    <w:rsid w:val="002D530E"/>
    <w:rsid w:val="002E1971"/>
    <w:rsid w:val="002E1C52"/>
    <w:rsid w:val="002F06C9"/>
    <w:rsid w:val="003003CE"/>
    <w:rsid w:val="003309D2"/>
    <w:rsid w:val="003551C9"/>
    <w:rsid w:val="00363E4E"/>
    <w:rsid w:val="003911DC"/>
    <w:rsid w:val="00392FEE"/>
    <w:rsid w:val="00396370"/>
    <w:rsid w:val="0039792C"/>
    <w:rsid w:val="003A1BC0"/>
    <w:rsid w:val="003A1F19"/>
    <w:rsid w:val="003A54A8"/>
    <w:rsid w:val="003A6643"/>
    <w:rsid w:val="003A780D"/>
    <w:rsid w:val="003C6F9A"/>
    <w:rsid w:val="003D0A8D"/>
    <w:rsid w:val="003F3794"/>
    <w:rsid w:val="003F6A88"/>
    <w:rsid w:val="004036E4"/>
    <w:rsid w:val="00416D02"/>
    <w:rsid w:val="00420764"/>
    <w:rsid w:val="004537C8"/>
    <w:rsid w:val="004571EA"/>
    <w:rsid w:val="004625AA"/>
    <w:rsid w:val="00465E81"/>
    <w:rsid w:val="0047540E"/>
    <w:rsid w:val="00480121"/>
    <w:rsid w:val="004863B0"/>
    <w:rsid w:val="004970F0"/>
    <w:rsid w:val="004A0F53"/>
    <w:rsid w:val="004A3139"/>
    <w:rsid w:val="004B39BD"/>
    <w:rsid w:val="004B798A"/>
    <w:rsid w:val="004E02BB"/>
    <w:rsid w:val="004E7C80"/>
    <w:rsid w:val="004F12E5"/>
    <w:rsid w:val="004F4642"/>
    <w:rsid w:val="0050050E"/>
    <w:rsid w:val="0050779A"/>
    <w:rsid w:val="0051163F"/>
    <w:rsid w:val="005231CF"/>
    <w:rsid w:val="005416CB"/>
    <w:rsid w:val="00543DBC"/>
    <w:rsid w:val="00547251"/>
    <w:rsid w:val="00560E23"/>
    <w:rsid w:val="00567670"/>
    <w:rsid w:val="005B03AC"/>
    <w:rsid w:val="005B05A0"/>
    <w:rsid w:val="005B0D8F"/>
    <w:rsid w:val="005B12EE"/>
    <w:rsid w:val="005B3937"/>
    <w:rsid w:val="005B3F1E"/>
    <w:rsid w:val="005B485C"/>
    <w:rsid w:val="005D390C"/>
    <w:rsid w:val="005D65D8"/>
    <w:rsid w:val="005E7465"/>
    <w:rsid w:val="0060146D"/>
    <w:rsid w:val="00601929"/>
    <w:rsid w:val="006073B1"/>
    <w:rsid w:val="00627073"/>
    <w:rsid w:val="00627DE6"/>
    <w:rsid w:val="00634D48"/>
    <w:rsid w:val="006360E0"/>
    <w:rsid w:val="0063668F"/>
    <w:rsid w:val="0064514B"/>
    <w:rsid w:val="006505C0"/>
    <w:rsid w:val="0065330F"/>
    <w:rsid w:val="00665EFD"/>
    <w:rsid w:val="00677922"/>
    <w:rsid w:val="00686031"/>
    <w:rsid w:val="006A1254"/>
    <w:rsid w:val="006A39E8"/>
    <w:rsid w:val="006B0DA0"/>
    <w:rsid w:val="006B4EBF"/>
    <w:rsid w:val="006B7307"/>
    <w:rsid w:val="006C361B"/>
    <w:rsid w:val="006C5D8E"/>
    <w:rsid w:val="006C6DE4"/>
    <w:rsid w:val="006C7B1A"/>
    <w:rsid w:val="006D18B2"/>
    <w:rsid w:val="006E0069"/>
    <w:rsid w:val="006E2D34"/>
    <w:rsid w:val="006E4332"/>
    <w:rsid w:val="006E7B29"/>
    <w:rsid w:val="006F0759"/>
    <w:rsid w:val="006F1B79"/>
    <w:rsid w:val="007102B9"/>
    <w:rsid w:val="007110EA"/>
    <w:rsid w:val="00722129"/>
    <w:rsid w:val="00723626"/>
    <w:rsid w:val="007259F6"/>
    <w:rsid w:val="00745C96"/>
    <w:rsid w:val="00753E42"/>
    <w:rsid w:val="00754BEE"/>
    <w:rsid w:val="00762397"/>
    <w:rsid w:val="007701E7"/>
    <w:rsid w:val="00771D5E"/>
    <w:rsid w:val="0077223B"/>
    <w:rsid w:val="0078048D"/>
    <w:rsid w:val="00784165"/>
    <w:rsid w:val="0079787E"/>
    <w:rsid w:val="007A0F1D"/>
    <w:rsid w:val="007A26BA"/>
    <w:rsid w:val="007B3143"/>
    <w:rsid w:val="007D2794"/>
    <w:rsid w:val="007D45D5"/>
    <w:rsid w:val="007E0948"/>
    <w:rsid w:val="007E1C8D"/>
    <w:rsid w:val="007E474A"/>
    <w:rsid w:val="007E6988"/>
    <w:rsid w:val="007E6C2C"/>
    <w:rsid w:val="007F3E8E"/>
    <w:rsid w:val="007F4973"/>
    <w:rsid w:val="007F4EAF"/>
    <w:rsid w:val="0081726B"/>
    <w:rsid w:val="008173D8"/>
    <w:rsid w:val="00822B07"/>
    <w:rsid w:val="00862A17"/>
    <w:rsid w:val="008650E0"/>
    <w:rsid w:val="00865820"/>
    <w:rsid w:val="00883320"/>
    <w:rsid w:val="00886CDC"/>
    <w:rsid w:val="008941A0"/>
    <w:rsid w:val="008A4ACC"/>
    <w:rsid w:val="008A6973"/>
    <w:rsid w:val="008F3898"/>
    <w:rsid w:val="00914685"/>
    <w:rsid w:val="009265B3"/>
    <w:rsid w:val="00934201"/>
    <w:rsid w:val="0093513E"/>
    <w:rsid w:val="00935A5D"/>
    <w:rsid w:val="00950B70"/>
    <w:rsid w:val="00955EF5"/>
    <w:rsid w:val="00974CF6"/>
    <w:rsid w:val="00976476"/>
    <w:rsid w:val="009803C9"/>
    <w:rsid w:val="00993E3C"/>
    <w:rsid w:val="00997C91"/>
    <w:rsid w:val="009A008A"/>
    <w:rsid w:val="009A3A11"/>
    <w:rsid w:val="009B240E"/>
    <w:rsid w:val="009B2827"/>
    <w:rsid w:val="009B4C63"/>
    <w:rsid w:val="009C7211"/>
    <w:rsid w:val="009D24BB"/>
    <w:rsid w:val="009D552F"/>
    <w:rsid w:val="009E7684"/>
    <w:rsid w:val="00A0253D"/>
    <w:rsid w:val="00A04811"/>
    <w:rsid w:val="00A11365"/>
    <w:rsid w:val="00A12C32"/>
    <w:rsid w:val="00A23305"/>
    <w:rsid w:val="00A25228"/>
    <w:rsid w:val="00A26881"/>
    <w:rsid w:val="00A32A9B"/>
    <w:rsid w:val="00A440CC"/>
    <w:rsid w:val="00A45879"/>
    <w:rsid w:val="00A87DE5"/>
    <w:rsid w:val="00A90905"/>
    <w:rsid w:val="00A90E09"/>
    <w:rsid w:val="00A95A1A"/>
    <w:rsid w:val="00AB06A2"/>
    <w:rsid w:val="00AB78A4"/>
    <w:rsid w:val="00AC1FBF"/>
    <w:rsid w:val="00AC2201"/>
    <w:rsid w:val="00AE00AD"/>
    <w:rsid w:val="00AF5F64"/>
    <w:rsid w:val="00B07F3E"/>
    <w:rsid w:val="00B14EED"/>
    <w:rsid w:val="00B468E2"/>
    <w:rsid w:val="00B7455C"/>
    <w:rsid w:val="00B7503A"/>
    <w:rsid w:val="00B9229A"/>
    <w:rsid w:val="00BA35F7"/>
    <w:rsid w:val="00BA41D1"/>
    <w:rsid w:val="00BB2548"/>
    <w:rsid w:val="00BB4CD3"/>
    <w:rsid w:val="00BD7A0F"/>
    <w:rsid w:val="00BF59D3"/>
    <w:rsid w:val="00C048CE"/>
    <w:rsid w:val="00C10133"/>
    <w:rsid w:val="00C20EE4"/>
    <w:rsid w:val="00C35104"/>
    <w:rsid w:val="00C360B8"/>
    <w:rsid w:val="00C56C0A"/>
    <w:rsid w:val="00C62777"/>
    <w:rsid w:val="00C66C0B"/>
    <w:rsid w:val="00C771A6"/>
    <w:rsid w:val="00C8016B"/>
    <w:rsid w:val="00C803BD"/>
    <w:rsid w:val="00C920C2"/>
    <w:rsid w:val="00C95345"/>
    <w:rsid w:val="00CA0591"/>
    <w:rsid w:val="00CA3DA2"/>
    <w:rsid w:val="00CC660C"/>
    <w:rsid w:val="00CC6C9D"/>
    <w:rsid w:val="00CC776E"/>
    <w:rsid w:val="00CE1E60"/>
    <w:rsid w:val="00CF2A3D"/>
    <w:rsid w:val="00D108AD"/>
    <w:rsid w:val="00D200FB"/>
    <w:rsid w:val="00D20DE1"/>
    <w:rsid w:val="00D37E75"/>
    <w:rsid w:val="00D42D07"/>
    <w:rsid w:val="00D43AC4"/>
    <w:rsid w:val="00D50D1E"/>
    <w:rsid w:val="00D55152"/>
    <w:rsid w:val="00D56017"/>
    <w:rsid w:val="00D764F3"/>
    <w:rsid w:val="00D85978"/>
    <w:rsid w:val="00D9679F"/>
    <w:rsid w:val="00DC5088"/>
    <w:rsid w:val="00DC564A"/>
    <w:rsid w:val="00DD1A59"/>
    <w:rsid w:val="00DD5CB3"/>
    <w:rsid w:val="00DD75EC"/>
    <w:rsid w:val="00DE3230"/>
    <w:rsid w:val="00DF4051"/>
    <w:rsid w:val="00DF5D5E"/>
    <w:rsid w:val="00E001FA"/>
    <w:rsid w:val="00E16D7B"/>
    <w:rsid w:val="00E421FD"/>
    <w:rsid w:val="00E43054"/>
    <w:rsid w:val="00E449C3"/>
    <w:rsid w:val="00E47204"/>
    <w:rsid w:val="00E5131D"/>
    <w:rsid w:val="00E658E4"/>
    <w:rsid w:val="00E72ED3"/>
    <w:rsid w:val="00E750FC"/>
    <w:rsid w:val="00E827EE"/>
    <w:rsid w:val="00E90ECB"/>
    <w:rsid w:val="00E921E9"/>
    <w:rsid w:val="00E95C23"/>
    <w:rsid w:val="00EA00C9"/>
    <w:rsid w:val="00EB5942"/>
    <w:rsid w:val="00EC3BD8"/>
    <w:rsid w:val="00ED0506"/>
    <w:rsid w:val="00ED4BE8"/>
    <w:rsid w:val="00ED7027"/>
    <w:rsid w:val="00EE06B2"/>
    <w:rsid w:val="00EF09E9"/>
    <w:rsid w:val="00EF4AEE"/>
    <w:rsid w:val="00F166C1"/>
    <w:rsid w:val="00F36C58"/>
    <w:rsid w:val="00F55EF9"/>
    <w:rsid w:val="00F623B7"/>
    <w:rsid w:val="00F8125E"/>
    <w:rsid w:val="00F9213D"/>
    <w:rsid w:val="00FA34C5"/>
    <w:rsid w:val="00FB6D38"/>
    <w:rsid w:val="00FC3B70"/>
    <w:rsid w:val="00FD3D6D"/>
    <w:rsid w:val="00FF1F14"/>
    <w:rsid w:val="00FF4B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0C2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131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143"/>
    <w:rPr>
      <w:rFonts w:ascii="Tahoma" w:hAnsi="Tahoma" w:cs="Tahoma"/>
      <w:sz w:val="16"/>
      <w:szCs w:val="16"/>
    </w:rPr>
  </w:style>
  <w:style w:type="paragraph" w:styleId="Header">
    <w:name w:val="header"/>
    <w:basedOn w:val="Normal"/>
    <w:link w:val="HeaderChar"/>
    <w:uiPriority w:val="99"/>
    <w:unhideWhenUsed/>
    <w:rsid w:val="007E6C2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E6C2C"/>
  </w:style>
  <w:style w:type="paragraph" w:styleId="Footer">
    <w:name w:val="footer"/>
    <w:basedOn w:val="Normal"/>
    <w:link w:val="FooterChar"/>
    <w:uiPriority w:val="99"/>
    <w:unhideWhenUsed/>
    <w:rsid w:val="007E6C2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E6C2C"/>
  </w:style>
  <w:style w:type="table" w:styleId="TableGrid">
    <w:name w:val="Table Grid"/>
    <w:basedOn w:val="TableNormal"/>
    <w:uiPriority w:val="59"/>
    <w:rsid w:val="00636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C6DE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6DE4"/>
    <w:rPr>
      <w:rFonts w:ascii="Times New Roman" w:hAnsi="Times New Roman" w:cs="Times New Roman"/>
      <w:sz w:val="24"/>
      <w:szCs w:val="24"/>
    </w:rPr>
  </w:style>
  <w:style w:type="character" w:customStyle="1" w:styleId="Heading1Char">
    <w:name w:val="Heading 1 Char"/>
    <w:basedOn w:val="DefaultParagraphFont"/>
    <w:link w:val="Heading1"/>
    <w:rsid w:val="00E5131D"/>
    <w:rPr>
      <w:rFonts w:ascii="Times New Roman" w:eastAsia="Times New Roman" w:hAnsi="Times New Roman" w:cs="Times New Roman"/>
      <w:sz w:val="24"/>
      <w:szCs w:val="20"/>
    </w:rPr>
  </w:style>
  <w:style w:type="paragraph" w:styleId="ListParagraph">
    <w:name w:val="List Paragraph"/>
    <w:basedOn w:val="Normal"/>
    <w:uiPriority w:val="34"/>
    <w:qFormat/>
    <w:rsid w:val="00914685"/>
    <w:pPr>
      <w:spacing w:after="0" w:line="240" w:lineRule="auto"/>
      <w:ind w:left="720"/>
      <w:contextualSpacing/>
      <w:jc w:val="both"/>
    </w:pPr>
    <w:rPr>
      <w:rFonts w:ascii="Times New Roman" w:hAnsi="Times New Roman"/>
      <w:sz w:val="24"/>
      <w:lang w:val="en-US"/>
    </w:rPr>
  </w:style>
  <w:style w:type="paragraph" w:styleId="FootnoteText">
    <w:name w:val="footnote text"/>
    <w:basedOn w:val="Normal"/>
    <w:link w:val="FootnoteTextChar"/>
    <w:uiPriority w:val="99"/>
    <w:semiHidden/>
    <w:unhideWhenUsed/>
    <w:rsid w:val="00914685"/>
    <w:pPr>
      <w:spacing w:after="0" w:line="240" w:lineRule="auto"/>
      <w:jc w:val="both"/>
    </w:pPr>
    <w:rPr>
      <w:rFonts w:ascii="Times New Roman" w:eastAsia="Times New Roman" w:hAnsi="Times New Roman" w:cs="Times New Roman"/>
      <w:b/>
      <w:bCs/>
      <w:color w:val="FF0000"/>
      <w:sz w:val="20"/>
      <w:szCs w:val="20"/>
    </w:rPr>
  </w:style>
  <w:style w:type="character" w:customStyle="1" w:styleId="FootnoteTextChar">
    <w:name w:val="Footnote Text Char"/>
    <w:basedOn w:val="DefaultParagraphFont"/>
    <w:link w:val="FootnoteText"/>
    <w:uiPriority w:val="99"/>
    <w:semiHidden/>
    <w:rsid w:val="00914685"/>
    <w:rPr>
      <w:rFonts w:ascii="Times New Roman" w:eastAsia="Times New Roman" w:hAnsi="Times New Roman" w:cs="Times New Roman"/>
      <w:b/>
      <w:bCs/>
      <w:color w:val="FF0000"/>
      <w:sz w:val="20"/>
      <w:szCs w:val="20"/>
    </w:rPr>
  </w:style>
  <w:style w:type="character" w:styleId="FootnoteReference">
    <w:name w:val="footnote reference"/>
    <w:basedOn w:val="DefaultParagraphFont"/>
    <w:uiPriority w:val="99"/>
    <w:semiHidden/>
    <w:unhideWhenUsed/>
    <w:rsid w:val="00914685"/>
    <w:rPr>
      <w:vertAlign w:val="superscript"/>
    </w:rPr>
  </w:style>
  <w:style w:type="character" w:styleId="Strong">
    <w:name w:val="Strong"/>
    <w:basedOn w:val="DefaultParagraphFont"/>
    <w:uiPriority w:val="22"/>
    <w:qFormat/>
    <w:rsid w:val="000472D4"/>
    <w:rPr>
      <w:b/>
      <w:bCs/>
    </w:rPr>
  </w:style>
  <w:style w:type="character" w:customStyle="1" w:styleId="fontstyle01">
    <w:name w:val="fontstyle01"/>
    <w:basedOn w:val="DefaultParagraphFont"/>
    <w:rsid w:val="002642FA"/>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9D24BB"/>
    <w:rPr>
      <w:sz w:val="16"/>
      <w:szCs w:val="16"/>
    </w:rPr>
  </w:style>
  <w:style w:type="paragraph" w:styleId="CommentText">
    <w:name w:val="annotation text"/>
    <w:basedOn w:val="Normal"/>
    <w:link w:val="CommentTextChar"/>
    <w:uiPriority w:val="99"/>
    <w:semiHidden/>
    <w:unhideWhenUsed/>
    <w:rsid w:val="009D24BB"/>
    <w:pPr>
      <w:spacing w:line="240" w:lineRule="auto"/>
    </w:pPr>
    <w:rPr>
      <w:sz w:val="20"/>
      <w:szCs w:val="20"/>
    </w:rPr>
  </w:style>
  <w:style w:type="character" w:customStyle="1" w:styleId="CommentTextChar">
    <w:name w:val="Comment Text Char"/>
    <w:basedOn w:val="DefaultParagraphFont"/>
    <w:link w:val="CommentText"/>
    <w:uiPriority w:val="99"/>
    <w:semiHidden/>
    <w:rsid w:val="009D24BB"/>
    <w:rPr>
      <w:sz w:val="20"/>
      <w:szCs w:val="20"/>
    </w:rPr>
  </w:style>
  <w:style w:type="paragraph" w:styleId="CommentSubject">
    <w:name w:val="annotation subject"/>
    <w:basedOn w:val="CommentText"/>
    <w:next w:val="CommentText"/>
    <w:link w:val="CommentSubjectChar"/>
    <w:uiPriority w:val="99"/>
    <w:semiHidden/>
    <w:unhideWhenUsed/>
    <w:rsid w:val="009D24BB"/>
    <w:rPr>
      <w:b/>
      <w:bCs/>
    </w:rPr>
  </w:style>
  <w:style w:type="character" w:customStyle="1" w:styleId="CommentSubjectChar">
    <w:name w:val="Comment Subject Char"/>
    <w:basedOn w:val="CommentTextChar"/>
    <w:link w:val="CommentSubject"/>
    <w:uiPriority w:val="99"/>
    <w:semiHidden/>
    <w:rsid w:val="009D24BB"/>
    <w:rPr>
      <w:b/>
      <w:bCs/>
      <w:sz w:val="20"/>
      <w:szCs w:val="20"/>
    </w:rPr>
  </w:style>
  <w:style w:type="character" w:styleId="Hyperlink">
    <w:name w:val="Hyperlink"/>
    <w:basedOn w:val="DefaultParagraphFont"/>
    <w:uiPriority w:val="99"/>
    <w:unhideWhenUsed/>
    <w:rsid w:val="00C048CE"/>
    <w:rPr>
      <w:color w:val="0000FF" w:themeColor="hyperlink"/>
      <w:u w:val="single"/>
    </w:rPr>
  </w:style>
  <w:style w:type="character" w:styleId="UnresolvedMention">
    <w:name w:val="Unresolved Mention"/>
    <w:basedOn w:val="DefaultParagraphFont"/>
    <w:uiPriority w:val="99"/>
    <w:rsid w:val="00C048CE"/>
    <w:rPr>
      <w:color w:val="605E5C"/>
      <w:shd w:val="clear" w:color="auto" w:fill="E1DFDD"/>
    </w:rPr>
  </w:style>
  <w:style w:type="paragraph" w:styleId="EndnoteText">
    <w:name w:val="endnote text"/>
    <w:basedOn w:val="Normal"/>
    <w:link w:val="EndnoteTextChar"/>
    <w:uiPriority w:val="99"/>
    <w:semiHidden/>
    <w:unhideWhenUsed/>
    <w:rsid w:val="00745C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5C96"/>
    <w:rPr>
      <w:sz w:val="20"/>
      <w:szCs w:val="20"/>
    </w:rPr>
  </w:style>
  <w:style w:type="character" w:styleId="EndnoteReference">
    <w:name w:val="endnote reference"/>
    <w:basedOn w:val="DefaultParagraphFont"/>
    <w:uiPriority w:val="99"/>
    <w:semiHidden/>
    <w:unhideWhenUsed/>
    <w:rsid w:val="00745C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061485">
      <w:bodyDiv w:val="1"/>
      <w:marLeft w:val="0"/>
      <w:marRight w:val="0"/>
      <w:marTop w:val="0"/>
      <w:marBottom w:val="0"/>
      <w:divBdr>
        <w:top w:val="none" w:sz="0" w:space="0" w:color="auto"/>
        <w:left w:val="none" w:sz="0" w:space="0" w:color="auto"/>
        <w:bottom w:val="none" w:sz="0" w:space="0" w:color="auto"/>
        <w:right w:val="none" w:sz="0" w:space="0" w:color="auto"/>
      </w:divBdr>
    </w:div>
    <w:div w:id="1270818504">
      <w:bodyDiv w:val="1"/>
      <w:marLeft w:val="0"/>
      <w:marRight w:val="0"/>
      <w:marTop w:val="0"/>
      <w:marBottom w:val="0"/>
      <w:divBdr>
        <w:top w:val="none" w:sz="0" w:space="0" w:color="auto"/>
        <w:left w:val="none" w:sz="0" w:space="0" w:color="auto"/>
        <w:bottom w:val="none" w:sz="0" w:space="0" w:color="auto"/>
        <w:right w:val="none" w:sz="0" w:space="0" w:color="auto"/>
      </w:divBdr>
    </w:div>
    <w:div w:id="1273593693">
      <w:bodyDiv w:val="1"/>
      <w:marLeft w:val="0"/>
      <w:marRight w:val="0"/>
      <w:marTop w:val="0"/>
      <w:marBottom w:val="0"/>
      <w:divBdr>
        <w:top w:val="none" w:sz="0" w:space="0" w:color="auto"/>
        <w:left w:val="none" w:sz="0" w:space="0" w:color="auto"/>
        <w:bottom w:val="none" w:sz="0" w:space="0" w:color="auto"/>
        <w:right w:val="none" w:sz="0" w:space="0" w:color="auto"/>
      </w:divBdr>
    </w:div>
    <w:div w:id="1320841150">
      <w:bodyDiv w:val="1"/>
      <w:marLeft w:val="0"/>
      <w:marRight w:val="0"/>
      <w:marTop w:val="0"/>
      <w:marBottom w:val="0"/>
      <w:divBdr>
        <w:top w:val="none" w:sz="0" w:space="0" w:color="auto"/>
        <w:left w:val="none" w:sz="0" w:space="0" w:color="auto"/>
        <w:bottom w:val="none" w:sz="0" w:space="0" w:color="auto"/>
        <w:right w:val="none" w:sz="0" w:space="0" w:color="auto"/>
      </w:divBdr>
    </w:div>
    <w:div w:id="1939173562">
      <w:bodyDiv w:val="1"/>
      <w:marLeft w:val="0"/>
      <w:marRight w:val="0"/>
      <w:marTop w:val="0"/>
      <w:marBottom w:val="0"/>
      <w:divBdr>
        <w:top w:val="none" w:sz="0" w:space="0" w:color="auto"/>
        <w:left w:val="none" w:sz="0" w:space="0" w:color="auto"/>
        <w:bottom w:val="none" w:sz="0" w:space="0" w:color="auto"/>
        <w:right w:val="none" w:sz="0" w:space="0" w:color="auto"/>
      </w:divBdr>
    </w:div>
    <w:div w:id="20267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mune@lst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BD35-8148-44CA-B52F-B427A71B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3606</Words>
  <Characters>2056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by Brandworks</dc:creator>
  <cp:keywords/>
  <dc:description/>
  <cp:lastModifiedBy>Ramune G.</cp:lastModifiedBy>
  <cp:revision>3</cp:revision>
  <cp:lastPrinted>2018-09-21T12:57:00Z</cp:lastPrinted>
  <dcterms:created xsi:type="dcterms:W3CDTF">2020-11-03T09:28:00Z</dcterms:created>
  <dcterms:modified xsi:type="dcterms:W3CDTF">2020-11-03T09:32:00Z</dcterms:modified>
  <cp:category/>
</cp:coreProperties>
</file>