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862A17" w14:paraId="1D279693" w14:textId="77777777" w:rsidTr="00AF7D96">
        <w:tc>
          <w:tcPr>
            <w:tcW w:w="4395" w:type="dxa"/>
          </w:tcPr>
          <w:p w14:paraId="2CC85455" w14:textId="77777777" w:rsidR="00A5378F" w:rsidRPr="00D200FB" w:rsidRDefault="00A5378F" w:rsidP="00AF7D9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862A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77777777" w:rsidR="00A5378F" w:rsidRPr="00862A17" w:rsidRDefault="00A5378F" w:rsidP="00AF7D96">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p>
          <w:p w14:paraId="7AAA664F"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7623EA98"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5AEBB9D6" w14:textId="77777777" w:rsidR="00A5378F"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Faks. (8-5) 2356044</w:t>
            </w:r>
          </w:p>
          <w:p w14:paraId="204520E2" w14:textId="77777777" w:rsidR="00A5378F" w:rsidRPr="00862A17" w:rsidRDefault="00A5378F" w:rsidP="00AF7D96">
            <w:pPr>
              <w:pStyle w:val="Footer"/>
              <w:spacing w:line="276" w:lineRule="auto"/>
              <w:rPr>
                <w:rFonts w:ascii="Gotham Book" w:hAnsi="Gotham Book" w:cs="Arial"/>
                <w:color w:val="404040" w:themeColor="text1" w:themeTint="BF"/>
                <w:sz w:val="13"/>
                <w:szCs w:val="13"/>
              </w:rPr>
            </w:pPr>
            <w:proofErr w:type="spellStart"/>
            <w:r w:rsidRPr="00862A17">
              <w:rPr>
                <w:rFonts w:ascii="Gotham Book" w:hAnsi="Gotham Book" w:cs="Gotham Pro Regular"/>
                <w:color w:val="585858"/>
                <w:sz w:val="16"/>
                <w:szCs w:val="16"/>
              </w:rPr>
              <w:t>info@lsta.lt</w:t>
            </w:r>
            <w:proofErr w:type="spellEnd"/>
            <w:r w:rsidRPr="00862A17">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266DCA6D"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5CFB875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388338D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200FB" w14:paraId="2F307AFA" w14:textId="77777777" w:rsidTr="00AF7D96">
        <w:trPr>
          <w:cantSplit/>
        </w:trPr>
        <w:tc>
          <w:tcPr>
            <w:tcW w:w="5537" w:type="dxa"/>
            <w:vMerge w:val="restart"/>
          </w:tcPr>
          <w:p w14:paraId="55100220" w14:textId="518C9A3E" w:rsidR="0092382C" w:rsidRPr="00D200FB" w:rsidRDefault="00FA3046" w:rsidP="009238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Valstybinei energetikos reguliavimo tarybai</w:t>
            </w:r>
          </w:p>
          <w:p w14:paraId="12C8476B" w14:textId="149776D4" w:rsidR="00A5378F" w:rsidRPr="00D200FB" w:rsidRDefault="00A5378F" w:rsidP="00E85E32">
            <w:pPr>
              <w:spacing w:after="0" w:line="240" w:lineRule="auto"/>
              <w:jc w:val="both"/>
              <w:rPr>
                <w:rFonts w:ascii="Times New Roman" w:hAnsi="Times New Roman" w:cs="Times New Roman"/>
                <w:b/>
                <w:sz w:val="24"/>
                <w:szCs w:val="24"/>
              </w:rPr>
            </w:pPr>
          </w:p>
        </w:tc>
        <w:tc>
          <w:tcPr>
            <w:tcW w:w="283" w:type="dxa"/>
          </w:tcPr>
          <w:p w14:paraId="28688853" w14:textId="77777777" w:rsidR="00A5378F" w:rsidRPr="00D200FB" w:rsidRDefault="00A5378F" w:rsidP="00AF7D96">
            <w:pPr>
              <w:spacing w:after="0" w:line="240" w:lineRule="auto"/>
              <w:rPr>
                <w:rFonts w:ascii="Times New Roman" w:hAnsi="Times New Roman" w:cs="Times New Roman"/>
                <w:bCs/>
                <w:sz w:val="24"/>
                <w:szCs w:val="24"/>
              </w:rPr>
            </w:pPr>
          </w:p>
        </w:tc>
        <w:tc>
          <w:tcPr>
            <w:tcW w:w="1418" w:type="dxa"/>
          </w:tcPr>
          <w:p w14:paraId="4D429152" w14:textId="57C74E23" w:rsidR="00A5378F" w:rsidRPr="00D200FB" w:rsidRDefault="00A5378F" w:rsidP="00AF7D96">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20</w:t>
            </w:r>
            <w:r w:rsidR="005A234D">
              <w:rPr>
                <w:rFonts w:ascii="Times New Roman" w:hAnsi="Times New Roman" w:cs="Times New Roman"/>
                <w:bCs/>
                <w:sz w:val="24"/>
                <w:szCs w:val="24"/>
              </w:rPr>
              <w:t>20</w:t>
            </w:r>
            <w:r w:rsidRPr="00D200FB">
              <w:rPr>
                <w:rFonts w:ascii="Times New Roman" w:hAnsi="Times New Roman" w:cs="Times New Roman"/>
                <w:bCs/>
                <w:sz w:val="24"/>
                <w:szCs w:val="24"/>
              </w:rPr>
              <w:t>-</w:t>
            </w:r>
            <w:r w:rsidR="00FA3046">
              <w:rPr>
                <w:rFonts w:ascii="Times New Roman" w:hAnsi="Times New Roman" w:cs="Times New Roman"/>
                <w:bCs/>
                <w:sz w:val="24"/>
                <w:szCs w:val="24"/>
              </w:rPr>
              <w:t>10</w:t>
            </w:r>
            <w:r w:rsidRPr="00D200FB">
              <w:rPr>
                <w:rFonts w:ascii="Times New Roman" w:hAnsi="Times New Roman" w:cs="Times New Roman"/>
                <w:bCs/>
                <w:sz w:val="24"/>
                <w:szCs w:val="24"/>
              </w:rPr>
              <w:t>-</w:t>
            </w:r>
            <w:r w:rsidR="00AD3F72">
              <w:rPr>
                <w:rFonts w:ascii="Times New Roman" w:hAnsi="Times New Roman" w:cs="Times New Roman"/>
                <w:bCs/>
                <w:sz w:val="24"/>
                <w:szCs w:val="24"/>
              </w:rPr>
              <w:t>30</w:t>
            </w:r>
          </w:p>
        </w:tc>
        <w:tc>
          <w:tcPr>
            <w:tcW w:w="2401" w:type="dxa"/>
          </w:tcPr>
          <w:p w14:paraId="0DCDE756" w14:textId="73E88360" w:rsidR="00A5378F" w:rsidRPr="00D200FB" w:rsidRDefault="00A5378F" w:rsidP="00AF7D96">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Nr.</w:t>
            </w:r>
            <w:r w:rsidR="00AD3F72">
              <w:rPr>
                <w:rFonts w:ascii="Times New Roman" w:hAnsi="Times New Roman" w:cs="Times New Roman"/>
                <w:bCs/>
                <w:sz w:val="24"/>
                <w:szCs w:val="24"/>
              </w:rPr>
              <w:t xml:space="preserve"> 118</w:t>
            </w:r>
          </w:p>
        </w:tc>
      </w:tr>
      <w:tr w:rsidR="00A5378F" w:rsidRPr="00D200FB" w14:paraId="09EA10AA" w14:textId="77777777" w:rsidTr="00AF7D96">
        <w:trPr>
          <w:cantSplit/>
        </w:trPr>
        <w:tc>
          <w:tcPr>
            <w:tcW w:w="5537" w:type="dxa"/>
            <w:vMerge/>
          </w:tcPr>
          <w:p w14:paraId="71EA8D27" w14:textId="77777777" w:rsidR="00A5378F" w:rsidRPr="00D200FB" w:rsidRDefault="00A5378F" w:rsidP="00AF7D96">
            <w:pPr>
              <w:spacing w:after="0" w:line="240" w:lineRule="auto"/>
              <w:rPr>
                <w:rFonts w:ascii="Times New Roman" w:hAnsi="Times New Roman" w:cs="Times New Roman"/>
                <w:sz w:val="24"/>
                <w:szCs w:val="24"/>
              </w:rPr>
            </w:pPr>
          </w:p>
        </w:tc>
        <w:tc>
          <w:tcPr>
            <w:tcW w:w="283" w:type="dxa"/>
          </w:tcPr>
          <w:p w14:paraId="4E36042F" w14:textId="77777777" w:rsidR="00A5378F" w:rsidRPr="00D200FB" w:rsidRDefault="00A5378F" w:rsidP="00AF7D96">
            <w:pPr>
              <w:pStyle w:val="Heading1"/>
              <w:rPr>
                <w:szCs w:val="24"/>
              </w:rPr>
            </w:pPr>
            <w:r w:rsidRPr="00D200FB">
              <w:rPr>
                <w:szCs w:val="24"/>
              </w:rPr>
              <w:t>Į</w:t>
            </w:r>
          </w:p>
        </w:tc>
        <w:tc>
          <w:tcPr>
            <w:tcW w:w="1418" w:type="dxa"/>
          </w:tcPr>
          <w:p w14:paraId="094B5206" w14:textId="3D7CE2EC" w:rsidR="00A5378F" w:rsidRPr="00D200FB" w:rsidRDefault="00905C94" w:rsidP="00AF7D96">
            <w:pPr>
              <w:spacing w:after="0" w:line="240" w:lineRule="auto"/>
              <w:rPr>
                <w:rFonts w:ascii="Times New Roman" w:hAnsi="Times New Roman" w:cs="Times New Roman"/>
                <w:sz w:val="24"/>
                <w:szCs w:val="24"/>
              </w:rPr>
            </w:pPr>
            <w:r>
              <w:rPr>
                <w:rFonts w:ascii="Times New Roman" w:hAnsi="Times New Roman" w:cs="Times New Roman"/>
                <w:sz w:val="24"/>
                <w:szCs w:val="24"/>
              </w:rPr>
              <w:t>2020-09-23</w:t>
            </w:r>
          </w:p>
        </w:tc>
        <w:tc>
          <w:tcPr>
            <w:tcW w:w="2401" w:type="dxa"/>
          </w:tcPr>
          <w:p w14:paraId="29966694" w14:textId="4D511736" w:rsidR="00A5378F" w:rsidRPr="00D200FB" w:rsidRDefault="00A5378F" w:rsidP="00AF7D96">
            <w:pPr>
              <w:pStyle w:val="Heading1"/>
              <w:rPr>
                <w:szCs w:val="24"/>
              </w:rPr>
            </w:pPr>
            <w:r w:rsidRPr="00D200FB">
              <w:rPr>
                <w:szCs w:val="24"/>
              </w:rPr>
              <w:t>Nr.</w:t>
            </w:r>
            <w:r>
              <w:rPr>
                <w:szCs w:val="24"/>
              </w:rPr>
              <w:t xml:space="preserve"> </w:t>
            </w:r>
            <w:r w:rsidR="00905C94" w:rsidRPr="00905C94">
              <w:rPr>
                <w:szCs w:val="24"/>
              </w:rPr>
              <w:t>R2-(ŠBK)-5129</w:t>
            </w:r>
          </w:p>
        </w:tc>
      </w:tr>
      <w:tr w:rsidR="00A5378F" w:rsidRPr="00D200FB" w14:paraId="4132F391" w14:textId="77777777" w:rsidTr="00AF7D96">
        <w:trPr>
          <w:cantSplit/>
          <w:trHeight w:val="302"/>
        </w:trPr>
        <w:tc>
          <w:tcPr>
            <w:tcW w:w="5537" w:type="dxa"/>
          </w:tcPr>
          <w:p w14:paraId="738DF583" w14:textId="77777777" w:rsidR="00A5378F" w:rsidRPr="00D200FB" w:rsidRDefault="00A5378F" w:rsidP="00AF7D96">
            <w:pPr>
              <w:tabs>
                <w:tab w:val="left" w:pos="3513"/>
              </w:tabs>
              <w:spacing w:after="0" w:line="240" w:lineRule="auto"/>
              <w:rPr>
                <w:rFonts w:ascii="Times New Roman" w:hAnsi="Times New Roman" w:cs="Times New Roman"/>
                <w:sz w:val="24"/>
                <w:szCs w:val="24"/>
              </w:rPr>
            </w:pPr>
          </w:p>
        </w:tc>
        <w:tc>
          <w:tcPr>
            <w:tcW w:w="283" w:type="dxa"/>
          </w:tcPr>
          <w:p w14:paraId="2810A5CB" w14:textId="77777777" w:rsidR="00A5378F" w:rsidRPr="00D200FB" w:rsidRDefault="00A5378F" w:rsidP="00AF7D96">
            <w:pPr>
              <w:spacing w:after="0" w:line="240" w:lineRule="auto"/>
              <w:rPr>
                <w:rFonts w:ascii="Times New Roman" w:hAnsi="Times New Roman" w:cs="Times New Roman"/>
                <w:sz w:val="24"/>
                <w:szCs w:val="24"/>
              </w:rPr>
            </w:pPr>
          </w:p>
        </w:tc>
        <w:tc>
          <w:tcPr>
            <w:tcW w:w="1418" w:type="dxa"/>
          </w:tcPr>
          <w:p w14:paraId="21B51252" w14:textId="77777777" w:rsidR="00A5378F" w:rsidRPr="00D200FB" w:rsidRDefault="00A5378F" w:rsidP="00AF7D96">
            <w:pPr>
              <w:spacing w:after="0" w:line="240" w:lineRule="auto"/>
              <w:rPr>
                <w:rFonts w:ascii="Times New Roman" w:hAnsi="Times New Roman" w:cs="Times New Roman"/>
                <w:sz w:val="24"/>
                <w:szCs w:val="24"/>
              </w:rPr>
            </w:pPr>
          </w:p>
        </w:tc>
        <w:tc>
          <w:tcPr>
            <w:tcW w:w="2401" w:type="dxa"/>
          </w:tcPr>
          <w:p w14:paraId="3A8CA8C2" w14:textId="77777777" w:rsidR="00A5378F" w:rsidRPr="00D200FB" w:rsidRDefault="00A5378F" w:rsidP="00AF7D96">
            <w:pPr>
              <w:spacing w:after="0" w:line="240" w:lineRule="auto"/>
              <w:rPr>
                <w:rFonts w:ascii="Times New Roman" w:hAnsi="Times New Roman" w:cs="Times New Roman"/>
                <w:sz w:val="24"/>
                <w:szCs w:val="24"/>
              </w:rPr>
            </w:pPr>
          </w:p>
        </w:tc>
      </w:tr>
      <w:tr w:rsidR="00A5378F" w:rsidRPr="00D200FB" w14:paraId="33E50A91" w14:textId="77777777" w:rsidTr="00AF7D96">
        <w:trPr>
          <w:cantSplit/>
        </w:trPr>
        <w:tc>
          <w:tcPr>
            <w:tcW w:w="9639" w:type="dxa"/>
            <w:gridSpan w:val="4"/>
          </w:tcPr>
          <w:p w14:paraId="5AB6DA64" w14:textId="5A2D650B" w:rsidR="00A5378F" w:rsidRPr="001528B1" w:rsidRDefault="00A5378F" w:rsidP="00AF7D96">
            <w:pPr>
              <w:spacing w:after="0" w:line="240" w:lineRule="auto"/>
              <w:jc w:val="both"/>
              <w:rPr>
                <w:rFonts w:ascii="Times New Roman" w:hAnsi="Times New Roman" w:cs="Times New Roman"/>
                <w:b/>
                <w:bCs/>
                <w:caps/>
                <w:sz w:val="24"/>
                <w:szCs w:val="24"/>
              </w:rPr>
            </w:pPr>
            <w:r w:rsidRPr="001528B1">
              <w:rPr>
                <w:rFonts w:ascii="Times New Roman" w:hAnsi="Times New Roman" w:cs="Times New Roman"/>
                <w:b/>
                <w:bCs/>
                <w:caps/>
                <w:sz w:val="24"/>
                <w:szCs w:val="24"/>
              </w:rPr>
              <w:t>DĖL</w:t>
            </w:r>
            <w:r w:rsidR="00FA3046">
              <w:t xml:space="preserve"> </w:t>
            </w:r>
            <w:r w:rsidR="00FA3046" w:rsidRPr="00FA3046">
              <w:rPr>
                <w:rFonts w:ascii="Times New Roman" w:hAnsi="Times New Roman" w:cs="Times New Roman"/>
                <w:b/>
                <w:bCs/>
                <w:sz w:val="24"/>
                <w:szCs w:val="24"/>
              </w:rPr>
              <w:t>ŠILUMOS KAINŲ NUSTATYMO METODIKOS PAKEITIMO PROJEKTO DERINIMO</w:t>
            </w:r>
            <w:r w:rsidR="00FA3046" w:rsidRPr="00FA3046">
              <w:rPr>
                <w:sz w:val="24"/>
                <w:szCs w:val="24"/>
              </w:rPr>
              <w:t xml:space="preserve"> </w:t>
            </w:r>
            <w:r w:rsidR="001528B1" w:rsidRPr="001528B1">
              <w:rPr>
                <w:rFonts w:ascii="Times New Roman" w:hAnsi="Times New Roman" w:cs="Times New Roman"/>
                <w:b/>
                <w:bCs/>
                <w:caps/>
                <w:sz w:val="24"/>
                <w:szCs w:val="24"/>
              </w:rPr>
              <w:t xml:space="preserve"> </w:t>
            </w:r>
            <w:r w:rsidRPr="001528B1">
              <w:rPr>
                <w:rFonts w:ascii="Times New Roman" w:hAnsi="Times New Roman" w:cs="Times New Roman"/>
                <w:b/>
                <w:bCs/>
                <w:caps/>
                <w:sz w:val="24"/>
                <w:szCs w:val="24"/>
              </w:rPr>
              <w:t xml:space="preserve"> </w:t>
            </w:r>
          </w:p>
        </w:tc>
      </w:tr>
    </w:tbl>
    <w:p w14:paraId="74D32727" w14:textId="77777777" w:rsidR="00A5378F" w:rsidRDefault="00A5378F" w:rsidP="00A5378F">
      <w:pPr>
        <w:jc w:val="both"/>
        <w:rPr>
          <w:rFonts w:ascii="Times New Roman" w:hAnsi="Times New Roman" w:cs="Times New Roman"/>
          <w:sz w:val="24"/>
          <w:szCs w:val="24"/>
        </w:rPr>
      </w:pPr>
    </w:p>
    <w:p w14:paraId="6391F223" w14:textId="77777777" w:rsidR="00A5378F" w:rsidRDefault="00A5378F" w:rsidP="00A5378F">
      <w:pPr>
        <w:spacing w:after="0" w:line="240" w:lineRule="auto"/>
        <w:jc w:val="both"/>
        <w:rPr>
          <w:rFonts w:ascii="Times New Roman" w:hAnsi="Times New Roman" w:cs="Times New Roman"/>
          <w:sz w:val="24"/>
          <w:szCs w:val="24"/>
        </w:rPr>
      </w:pPr>
    </w:p>
    <w:p w14:paraId="23E2A1E6" w14:textId="00FC6A0F" w:rsidR="00F72F4C" w:rsidRDefault="00D718B2" w:rsidP="00AF48D7">
      <w:pPr>
        <w:spacing w:after="0" w:line="360" w:lineRule="auto"/>
        <w:jc w:val="both"/>
        <w:rPr>
          <w:rFonts w:ascii="Times New Roman" w:hAnsi="Times New Roman"/>
          <w:sz w:val="24"/>
        </w:rPr>
      </w:pPr>
      <w:r>
        <w:rPr>
          <w:rFonts w:ascii="Times New Roman" w:hAnsi="Times New Roman"/>
          <w:sz w:val="24"/>
        </w:rPr>
        <w:tab/>
      </w:r>
      <w:r w:rsidR="00494B48">
        <w:rPr>
          <w:rFonts w:ascii="Times New Roman" w:hAnsi="Times New Roman"/>
          <w:sz w:val="24"/>
        </w:rPr>
        <w:t xml:space="preserve"> </w:t>
      </w:r>
      <w:r w:rsidR="00260E6D">
        <w:rPr>
          <w:rFonts w:ascii="Times New Roman" w:hAnsi="Times New Roman"/>
          <w:sz w:val="24"/>
        </w:rPr>
        <w:t xml:space="preserve">Lietuvos šilumos tiekėjų asociacija </w:t>
      </w:r>
      <w:r w:rsidR="00476F50">
        <w:rPr>
          <w:rFonts w:ascii="Times New Roman" w:hAnsi="Times New Roman"/>
          <w:sz w:val="24"/>
        </w:rPr>
        <w:t>(toliau – Asociacija)</w:t>
      </w:r>
      <w:r w:rsidR="000661F9">
        <w:rPr>
          <w:rFonts w:ascii="Times New Roman" w:hAnsi="Times New Roman"/>
          <w:sz w:val="24"/>
        </w:rPr>
        <w:t xml:space="preserve"> susipažino su </w:t>
      </w:r>
      <w:r w:rsidR="000661F9" w:rsidRPr="000661F9">
        <w:rPr>
          <w:rFonts w:ascii="Times New Roman" w:hAnsi="Times New Roman"/>
          <w:sz w:val="24"/>
        </w:rPr>
        <w:t>Šilumos kainų nustatymo metodikos, patvirtintos Valstybinės kainų ir energetikos kontrolės komisijos 2009 m. liepos 8 d. nutarimu Nr. O3-96 „Dėl Šilumos kainų nustatymo metodikos“ (toliau – Metodika), pakeitimo projekt</w:t>
      </w:r>
      <w:r w:rsidR="000661F9">
        <w:rPr>
          <w:rFonts w:ascii="Times New Roman" w:hAnsi="Times New Roman"/>
          <w:sz w:val="24"/>
        </w:rPr>
        <w:t>u ir teikia savo pastabas ir pasiūlymus</w:t>
      </w:r>
      <w:r w:rsidR="00E5074B">
        <w:rPr>
          <w:rFonts w:ascii="Times New Roman" w:hAnsi="Times New Roman"/>
          <w:sz w:val="24"/>
        </w:rPr>
        <w:t xml:space="preserve"> (pridedamoje lentelėje)</w:t>
      </w:r>
      <w:r w:rsidR="000661F9">
        <w:rPr>
          <w:rFonts w:ascii="Times New Roman" w:hAnsi="Times New Roman"/>
          <w:sz w:val="24"/>
        </w:rPr>
        <w:t>.</w:t>
      </w:r>
    </w:p>
    <w:p w14:paraId="02203FBB" w14:textId="6E7D8375" w:rsidR="00881151" w:rsidRDefault="00E5074B" w:rsidP="00881151">
      <w:pPr>
        <w:spacing w:after="0" w:line="240" w:lineRule="auto"/>
        <w:jc w:val="both"/>
        <w:rPr>
          <w:rFonts w:ascii="Times New Roman" w:hAnsi="Times New Roman"/>
          <w:sz w:val="24"/>
        </w:rPr>
      </w:pPr>
      <w:r>
        <w:rPr>
          <w:rFonts w:ascii="Times New Roman" w:hAnsi="Times New Roman"/>
          <w:sz w:val="24"/>
        </w:rPr>
        <w:tab/>
      </w:r>
    </w:p>
    <w:p w14:paraId="009C6987" w14:textId="0B89158C" w:rsidR="00881151" w:rsidRDefault="00881151" w:rsidP="00881151">
      <w:pPr>
        <w:spacing w:after="0" w:line="240" w:lineRule="auto"/>
        <w:jc w:val="both"/>
        <w:rPr>
          <w:rFonts w:ascii="Times New Roman" w:hAnsi="Times New Roman"/>
          <w:sz w:val="24"/>
        </w:rPr>
      </w:pPr>
    </w:p>
    <w:p w14:paraId="250C4380" w14:textId="77777777" w:rsidR="00881151" w:rsidRDefault="00881151" w:rsidP="00881151">
      <w:pPr>
        <w:spacing w:after="0" w:line="240" w:lineRule="auto"/>
        <w:jc w:val="both"/>
        <w:rPr>
          <w:rFonts w:ascii="Times New Roman" w:hAnsi="Times New Roman" w:cs="Times New Roman"/>
          <w:sz w:val="24"/>
          <w:szCs w:val="24"/>
        </w:rPr>
      </w:pPr>
    </w:p>
    <w:p w14:paraId="21F8EC71" w14:textId="5D099FD0" w:rsidR="00033889" w:rsidRDefault="00033889" w:rsidP="00E85E32">
      <w:pPr>
        <w:rPr>
          <w:rFonts w:ascii="Times New Roman" w:hAnsi="Times New Roman" w:cs="Times New Roman"/>
          <w:sz w:val="24"/>
          <w:szCs w:val="24"/>
        </w:rPr>
      </w:pPr>
    </w:p>
    <w:p w14:paraId="5544D058" w14:textId="4BF99B62" w:rsidR="00E5074B" w:rsidRDefault="00E5074B" w:rsidP="00E85E32">
      <w:pPr>
        <w:rPr>
          <w:rFonts w:ascii="Times New Roman" w:hAnsi="Times New Roman" w:cs="Times New Roman"/>
          <w:sz w:val="24"/>
          <w:szCs w:val="24"/>
        </w:rPr>
      </w:pPr>
    </w:p>
    <w:p w14:paraId="41CAC928" w14:textId="77777777" w:rsidR="00E5074B" w:rsidRDefault="00E5074B" w:rsidP="00E85E32">
      <w:pPr>
        <w:rPr>
          <w:rFonts w:ascii="Times New Roman" w:hAnsi="Times New Roman" w:cs="Times New Roman"/>
          <w:sz w:val="24"/>
          <w:szCs w:val="24"/>
        </w:rPr>
      </w:pPr>
    </w:p>
    <w:p w14:paraId="635BBEAB" w14:textId="51AE8CEC" w:rsidR="00033889" w:rsidRDefault="00033889" w:rsidP="00A5378F">
      <w:pPr>
        <w:ind w:firstLine="851"/>
        <w:rPr>
          <w:rFonts w:ascii="Times New Roman" w:hAnsi="Times New Roman" w:cs="Times New Roman"/>
          <w:sz w:val="24"/>
          <w:szCs w:val="24"/>
        </w:rPr>
      </w:pPr>
    </w:p>
    <w:p w14:paraId="186F321C" w14:textId="77777777" w:rsidR="00033889" w:rsidRDefault="00033889" w:rsidP="009B1ADB">
      <w:pPr>
        <w:spacing w:line="240" w:lineRule="auto"/>
        <w:ind w:left="851" w:firstLine="851"/>
        <w:rPr>
          <w:rFonts w:ascii="Times New Roman" w:hAnsi="Times New Roman" w:cs="Times New Roman"/>
          <w:sz w:val="24"/>
          <w:szCs w:val="24"/>
        </w:rPr>
      </w:pPr>
      <w:r w:rsidRPr="005B3F1E">
        <w:rPr>
          <w:rFonts w:ascii="Times New Roman" w:hAnsi="Times New Roman" w:cs="Times New Roman"/>
          <w:sz w:val="24"/>
          <w:szCs w:val="24"/>
        </w:rPr>
        <w:t xml:space="preserve">Prezidentas </w:t>
      </w:r>
      <w:r w:rsidRPr="005B3F1E">
        <w:rPr>
          <w:rFonts w:ascii="Times New Roman" w:hAnsi="Times New Roman" w:cs="Times New Roman"/>
          <w:sz w:val="24"/>
          <w:szCs w:val="24"/>
        </w:rPr>
        <w:tab/>
      </w:r>
      <w:r w:rsidRPr="005B3F1E">
        <w:rPr>
          <w:rFonts w:ascii="Times New Roman" w:hAnsi="Times New Roman" w:cs="Times New Roman"/>
          <w:sz w:val="24"/>
          <w:szCs w:val="24"/>
        </w:rPr>
        <w:tab/>
      </w:r>
      <w:r w:rsidRPr="005B3F1E">
        <w:rPr>
          <w:rFonts w:ascii="Times New Roman" w:hAnsi="Times New Roman" w:cs="Times New Roman"/>
          <w:sz w:val="24"/>
          <w:szCs w:val="24"/>
        </w:rPr>
        <w:tab/>
      </w:r>
      <w:r w:rsidRPr="005B3F1E">
        <w:rPr>
          <w:rFonts w:ascii="Times New Roman" w:hAnsi="Times New Roman" w:cs="Times New Roman"/>
          <w:sz w:val="24"/>
          <w:szCs w:val="24"/>
        </w:rPr>
        <w:tab/>
      </w:r>
      <w:r>
        <w:rPr>
          <w:rFonts w:ascii="Times New Roman" w:hAnsi="Times New Roman" w:cs="Times New Roman"/>
          <w:sz w:val="24"/>
          <w:szCs w:val="24"/>
        </w:rPr>
        <w:t xml:space="preserve">dr. </w:t>
      </w:r>
      <w:r w:rsidRPr="00D200FB">
        <w:rPr>
          <w:rFonts w:ascii="Times New Roman" w:hAnsi="Times New Roman" w:cs="Times New Roman"/>
          <w:sz w:val="24"/>
          <w:szCs w:val="24"/>
        </w:rPr>
        <w:t>Valdas Lukoševičius</w:t>
      </w:r>
    </w:p>
    <w:p w14:paraId="7CE21E7B" w14:textId="210C88F7" w:rsidR="00033889" w:rsidRDefault="00033889" w:rsidP="00033889">
      <w:pPr>
        <w:spacing w:line="240" w:lineRule="auto"/>
        <w:rPr>
          <w:rFonts w:ascii="Times New Roman" w:hAnsi="Times New Roman" w:cs="Times New Roman"/>
          <w:sz w:val="24"/>
          <w:szCs w:val="24"/>
        </w:rPr>
      </w:pPr>
    </w:p>
    <w:p w14:paraId="78EF2A5E" w14:textId="0A3952A9" w:rsidR="004D5F63" w:rsidRDefault="004D5F63" w:rsidP="00033889">
      <w:pPr>
        <w:spacing w:line="240" w:lineRule="auto"/>
        <w:rPr>
          <w:rFonts w:ascii="Times New Roman" w:hAnsi="Times New Roman" w:cs="Times New Roman"/>
          <w:sz w:val="24"/>
          <w:szCs w:val="24"/>
        </w:rPr>
      </w:pPr>
    </w:p>
    <w:p w14:paraId="5424D045" w14:textId="2356CDB8" w:rsidR="004D5F63" w:rsidRDefault="004D5F63" w:rsidP="00033889">
      <w:pPr>
        <w:spacing w:line="240" w:lineRule="auto"/>
        <w:rPr>
          <w:rFonts w:ascii="Times New Roman" w:hAnsi="Times New Roman" w:cs="Times New Roman"/>
          <w:sz w:val="24"/>
          <w:szCs w:val="24"/>
        </w:rPr>
      </w:pPr>
    </w:p>
    <w:p w14:paraId="541EDFD6" w14:textId="77777777" w:rsidR="004D5F63" w:rsidRDefault="004D5F63" w:rsidP="00033889">
      <w:pPr>
        <w:spacing w:line="240" w:lineRule="auto"/>
        <w:rPr>
          <w:rFonts w:ascii="Times New Roman" w:hAnsi="Times New Roman" w:cs="Times New Roman"/>
          <w:sz w:val="24"/>
          <w:szCs w:val="24"/>
        </w:rPr>
      </w:pPr>
    </w:p>
    <w:p w14:paraId="09B84B60" w14:textId="5B00C313" w:rsidR="00033889" w:rsidRDefault="00033889" w:rsidP="00033889">
      <w:pPr>
        <w:spacing w:line="240" w:lineRule="auto"/>
        <w:rPr>
          <w:rFonts w:ascii="Times New Roman" w:hAnsi="Times New Roman" w:cs="Times New Roman"/>
          <w:sz w:val="24"/>
          <w:szCs w:val="24"/>
        </w:rPr>
      </w:pPr>
    </w:p>
    <w:p w14:paraId="474897C1" w14:textId="46F29783" w:rsidR="00AF48D7" w:rsidRDefault="00AF48D7" w:rsidP="00033889">
      <w:pPr>
        <w:spacing w:line="240" w:lineRule="auto"/>
        <w:rPr>
          <w:rFonts w:ascii="Times New Roman" w:hAnsi="Times New Roman" w:cs="Times New Roman"/>
          <w:sz w:val="24"/>
          <w:szCs w:val="24"/>
        </w:rPr>
      </w:pPr>
    </w:p>
    <w:p w14:paraId="63AB529B" w14:textId="3301FB46" w:rsidR="00AF48D7" w:rsidRDefault="00AF48D7" w:rsidP="00033889">
      <w:pPr>
        <w:spacing w:line="240" w:lineRule="auto"/>
        <w:rPr>
          <w:rFonts w:ascii="Times New Roman" w:hAnsi="Times New Roman" w:cs="Times New Roman"/>
          <w:sz w:val="24"/>
          <w:szCs w:val="24"/>
        </w:rPr>
      </w:pPr>
    </w:p>
    <w:p w14:paraId="6E117961" w14:textId="2F6A6CFC" w:rsidR="00E5074B" w:rsidRDefault="00E5074B" w:rsidP="00033889">
      <w:pPr>
        <w:spacing w:line="240" w:lineRule="auto"/>
        <w:rPr>
          <w:rFonts w:ascii="Times New Roman" w:hAnsi="Times New Roman" w:cs="Times New Roman"/>
          <w:sz w:val="24"/>
          <w:szCs w:val="24"/>
        </w:rPr>
      </w:pPr>
    </w:p>
    <w:p w14:paraId="20E3C502" w14:textId="77777777" w:rsidR="00E5074B" w:rsidRDefault="00E5074B" w:rsidP="00033889">
      <w:pPr>
        <w:spacing w:line="240" w:lineRule="auto"/>
        <w:rPr>
          <w:rFonts w:ascii="Times New Roman" w:hAnsi="Times New Roman" w:cs="Times New Roman"/>
          <w:sz w:val="24"/>
          <w:szCs w:val="24"/>
        </w:rPr>
      </w:pPr>
    </w:p>
    <w:p w14:paraId="7E304A8F" w14:textId="77777777" w:rsidR="00033889" w:rsidRPr="00525648" w:rsidRDefault="00033889" w:rsidP="00033889">
      <w:pPr>
        <w:spacing w:line="240" w:lineRule="auto"/>
        <w:rPr>
          <w:rFonts w:ascii="Times New Roman" w:hAnsi="Times New Roman" w:cs="Times New Roman"/>
          <w:sz w:val="24"/>
          <w:szCs w:val="24"/>
        </w:rPr>
      </w:pPr>
    </w:p>
    <w:p w14:paraId="30611BAB" w14:textId="023616ED" w:rsidR="00033889" w:rsidRDefault="00033889" w:rsidP="00E85E32">
      <w:pPr>
        <w:spacing w:line="240" w:lineRule="auto"/>
        <w:jc w:val="both"/>
        <w:rPr>
          <w:rFonts w:ascii="Times New Roman" w:hAnsi="Times New Roman" w:cs="Times New Roman"/>
          <w:sz w:val="24"/>
          <w:szCs w:val="24"/>
        </w:rPr>
      </w:pPr>
      <w:r>
        <w:rPr>
          <w:rFonts w:ascii="Times New Roman" w:hAnsi="Times New Roman" w:cs="Times New Roman"/>
          <w:sz w:val="24"/>
          <w:szCs w:val="24"/>
        </w:rPr>
        <w:t>M. Paulauskas</w:t>
      </w:r>
      <w:r w:rsidRPr="00525648">
        <w:rPr>
          <w:rFonts w:ascii="Times New Roman" w:hAnsi="Times New Roman" w:cs="Times New Roman"/>
          <w:sz w:val="24"/>
          <w:szCs w:val="24"/>
        </w:rPr>
        <w:t>, tel. (85) 2</w:t>
      </w:r>
      <w:r>
        <w:rPr>
          <w:rFonts w:ascii="Times New Roman" w:hAnsi="Times New Roman" w:cs="Times New Roman"/>
          <w:sz w:val="24"/>
          <w:szCs w:val="24"/>
        </w:rPr>
        <w:t>66</w:t>
      </w:r>
      <w:r w:rsidRPr="00525648">
        <w:rPr>
          <w:rFonts w:ascii="Times New Roman" w:hAnsi="Times New Roman" w:cs="Times New Roman"/>
          <w:sz w:val="24"/>
          <w:szCs w:val="24"/>
        </w:rPr>
        <w:t xml:space="preserve"> </w:t>
      </w:r>
      <w:r>
        <w:rPr>
          <w:rFonts w:ascii="Times New Roman" w:hAnsi="Times New Roman" w:cs="Times New Roman"/>
          <w:sz w:val="24"/>
          <w:szCs w:val="24"/>
        </w:rPr>
        <w:t>7096</w:t>
      </w:r>
      <w:r w:rsidRPr="00525648">
        <w:rPr>
          <w:rFonts w:ascii="Times New Roman" w:hAnsi="Times New Roman" w:cs="Times New Roman"/>
          <w:sz w:val="24"/>
          <w:szCs w:val="24"/>
        </w:rPr>
        <w:t xml:space="preserve">, el. p. </w:t>
      </w:r>
      <w:hyperlink r:id="rId7" w:history="1">
        <w:r w:rsidRPr="00EF1785">
          <w:rPr>
            <w:rStyle w:val="Hyperlink"/>
            <w:rFonts w:ascii="Times New Roman" w:hAnsi="Times New Roman" w:cs="Times New Roman"/>
            <w:sz w:val="24"/>
            <w:szCs w:val="24"/>
          </w:rPr>
          <w:t>mantas@lsta.lt</w:t>
        </w:r>
      </w:hyperlink>
      <w:r>
        <w:rPr>
          <w:rFonts w:ascii="Times New Roman" w:hAnsi="Times New Roman" w:cs="Times New Roman"/>
          <w:sz w:val="24"/>
          <w:szCs w:val="24"/>
        </w:rPr>
        <w:t xml:space="preserve"> </w:t>
      </w:r>
    </w:p>
    <w:p w14:paraId="701A4621" w14:textId="3B015D7F" w:rsidR="00D32C59" w:rsidRDefault="00D32C59" w:rsidP="00E85E32">
      <w:pPr>
        <w:spacing w:line="240" w:lineRule="auto"/>
        <w:jc w:val="both"/>
        <w:rPr>
          <w:rFonts w:ascii="Times New Roman" w:hAnsi="Times New Roman" w:cs="Times New Roman"/>
          <w:sz w:val="24"/>
          <w:szCs w:val="24"/>
        </w:rPr>
      </w:pPr>
    </w:p>
    <w:p w14:paraId="3E6CA522" w14:textId="16AD72AC" w:rsidR="00D32C59" w:rsidRDefault="00D32C59" w:rsidP="00E85E32">
      <w:pPr>
        <w:spacing w:line="240" w:lineRule="auto"/>
        <w:jc w:val="both"/>
        <w:rPr>
          <w:rFonts w:ascii="Times New Roman" w:hAnsi="Times New Roman" w:cs="Times New Roman"/>
          <w:sz w:val="24"/>
          <w:szCs w:val="24"/>
        </w:rPr>
      </w:pPr>
    </w:p>
    <w:p w14:paraId="1714DC2C" w14:textId="77777777" w:rsidR="00D32C59" w:rsidRDefault="00D32C5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F04BA07" w14:textId="77777777" w:rsidR="00D32C59" w:rsidRDefault="00D32C59" w:rsidP="00E85E32">
      <w:pPr>
        <w:spacing w:line="240" w:lineRule="auto"/>
        <w:jc w:val="both"/>
        <w:rPr>
          <w:rFonts w:ascii="Times New Roman" w:hAnsi="Times New Roman" w:cs="Times New Roman"/>
          <w:sz w:val="24"/>
          <w:szCs w:val="24"/>
        </w:rPr>
        <w:sectPr w:rsidR="00D32C59" w:rsidSect="00AD3F72">
          <w:pgSz w:w="11906" w:h="16838"/>
          <w:pgMar w:top="851" w:right="851" w:bottom="851" w:left="1418" w:header="567" w:footer="567" w:gutter="0"/>
          <w:cols w:space="1296"/>
          <w:docGrid w:linePitch="360"/>
        </w:sectPr>
      </w:pPr>
    </w:p>
    <w:tbl>
      <w:tblPr>
        <w:tblStyle w:val="TableGrid"/>
        <w:tblW w:w="5000" w:type="pct"/>
        <w:tblLook w:val="04A0" w:firstRow="1" w:lastRow="0" w:firstColumn="1" w:lastColumn="0" w:noHBand="0" w:noVBand="1"/>
      </w:tblPr>
      <w:tblGrid>
        <w:gridCol w:w="704"/>
        <w:gridCol w:w="4910"/>
        <w:gridCol w:w="4756"/>
        <w:gridCol w:w="4756"/>
      </w:tblGrid>
      <w:tr w:rsidR="00D32C59" w:rsidRPr="00D32C59" w14:paraId="3269EB07" w14:textId="77777777" w:rsidTr="00A42D9D">
        <w:trPr>
          <w:tblHeader/>
        </w:trPr>
        <w:tc>
          <w:tcPr>
            <w:tcW w:w="233" w:type="pct"/>
            <w:vAlign w:val="center"/>
          </w:tcPr>
          <w:p w14:paraId="0D6CFB65" w14:textId="66312373" w:rsidR="00D32C59" w:rsidRPr="007B7324" w:rsidRDefault="00D32C59" w:rsidP="007B7324">
            <w:pPr>
              <w:spacing w:after="0" w:line="240" w:lineRule="auto"/>
              <w:jc w:val="center"/>
              <w:rPr>
                <w:rFonts w:ascii="Times New Roman" w:hAnsi="Times New Roman" w:cs="Times New Roman"/>
                <w:b/>
                <w:bCs/>
                <w:sz w:val="20"/>
                <w:szCs w:val="20"/>
              </w:rPr>
            </w:pPr>
            <w:r w:rsidRPr="007B7324">
              <w:rPr>
                <w:rFonts w:ascii="Times New Roman" w:hAnsi="Times New Roman" w:cs="Times New Roman"/>
                <w:b/>
                <w:bCs/>
                <w:sz w:val="20"/>
                <w:szCs w:val="20"/>
              </w:rPr>
              <w:lastRenderedPageBreak/>
              <w:t>Nr.</w:t>
            </w:r>
          </w:p>
        </w:tc>
        <w:tc>
          <w:tcPr>
            <w:tcW w:w="1623" w:type="pct"/>
            <w:vAlign w:val="center"/>
          </w:tcPr>
          <w:p w14:paraId="28F50A30" w14:textId="695FE926" w:rsidR="00D32C59" w:rsidRPr="007B7324" w:rsidRDefault="00D32C59" w:rsidP="007B7324">
            <w:pPr>
              <w:spacing w:after="0" w:line="240" w:lineRule="auto"/>
              <w:jc w:val="center"/>
              <w:rPr>
                <w:rFonts w:ascii="Times New Roman" w:hAnsi="Times New Roman" w:cs="Times New Roman"/>
                <w:b/>
                <w:bCs/>
                <w:sz w:val="20"/>
                <w:szCs w:val="20"/>
              </w:rPr>
            </w:pPr>
            <w:r w:rsidRPr="007B7324">
              <w:rPr>
                <w:rFonts w:ascii="Times New Roman" w:hAnsi="Times New Roman" w:cs="Times New Roman"/>
                <w:b/>
                <w:bCs/>
                <w:sz w:val="20"/>
                <w:szCs w:val="20"/>
              </w:rPr>
              <w:t>Metodikos projekto redakcija</w:t>
            </w:r>
          </w:p>
        </w:tc>
        <w:tc>
          <w:tcPr>
            <w:tcW w:w="1572" w:type="pct"/>
            <w:vAlign w:val="center"/>
          </w:tcPr>
          <w:p w14:paraId="5B94ABA0" w14:textId="24387A7D" w:rsidR="00D32C59" w:rsidRPr="007B7324" w:rsidRDefault="00D32C59" w:rsidP="007B7324">
            <w:pPr>
              <w:spacing w:after="0" w:line="240" w:lineRule="auto"/>
              <w:jc w:val="center"/>
              <w:rPr>
                <w:rFonts w:ascii="Times New Roman" w:hAnsi="Times New Roman" w:cs="Times New Roman"/>
                <w:b/>
                <w:bCs/>
                <w:sz w:val="20"/>
                <w:szCs w:val="20"/>
              </w:rPr>
            </w:pPr>
            <w:r w:rsidRPr="007B7324">
              <w:rPr>
                <w:rFonts w:ascii="Times New Roman" w:hAnsi="Times New Roman" w:cs="Times New Roman"/>
                <w:b/>
                <w:bCs/>
                <w:sz w:val="20"/>
                <w:szCs w:val="20"/>
              </w:rPr>
              <w:t xml:space="preserve">Siūloma </w:t>
            </w:r>
            <w:r w:rsidR="00AF48D7">
              <w:rPr>
                <w:rFonts w:ascii="Times New Roman" w:hAnsi="Times New Roman" w:cs="Times New Roman"/>
                <w:b/>
                <w:bCs/>
                <w:sz w:val="20"/>
                <w:szCs w:val="20"/>
              </w:rPr>
              <w:t xml:space="preserve">Metodikos </w:t>
            </w:r>
            <w:r w:rsidRPr="007B7324">
              <w:rPr>
                <w:rFonts w:ascii="Times New Roman" w:hAnsi="Times New Roman" w:cs="Times New Roman"/>
                <w:b/>
                <w:bCs/>
                <w:sz w:val="20"/>
                <w:szCs w:val="20"/>
              </w:rPr>
              <w:t>redakcija</w:t>
            </w:r>
          </w:p>
        </w:tc>
        <w:tc>
          <w:tcPr>
            <w:tcW w:w="1572" w:type="pct"/>
            <w:vAlign w:val="center"/>
          </w:tcPr>
          <w:p w14:paraId="7189114F" w14:textId="535357D7" w:rsidR="00D32C59" w:rsidRPr="007B7324" w:rsidRDefault="00D32C59" w:rsidP="007B7324">
            <w:pPr>
              <w:spacing w:after="0" w:line="240" w:lineRule="auto"/>
              <w:jc w:val="center"/>
              <w:rPr>
                <w:rFonts w:ascii="Times New Roman" w:hAnsi="Times New Roman" w:cs="Times New Roman"/>
                <w:b/>
                <w:bCs/>
                <w:sz w:val="20"/>
                <w:szCs w:val="20"/>
              </w:rPr>
            </w:pPr>
            <w:r w:rsidRPr="007B7324">
              <w:rPr>
                <w:rFonts w:ascii="Times New Roman" w:hAnsi="Times New Roman" w:cs="Times New Roman"/>
                <w:b/>
                <w:bCs/>
                <w:sz w:val="20"/>
                <w:szCs w:val="20"/>
              </w:rPr>
              <w:t>Pastabos/ argumentai</w:t>
            </w:r>
          </w:p>
        </w:tc>
      </w:tr>
      <w:tr w:rsidR="00D32C59" w:rsidRPr="00D32C59" w14:paraId="5463484A" w14:textId="77777777" w:rsidTr="009148DA">
        <w:tc>
          <w:tcPr>
            <w:tcW w:w="233" w:type="pct"/>
          </w:tcPr>
          <w:p w14:paraId="246A319A" w14:textId="7E37FE89" w:rsidR="00D32C59" w:rsidRPr="00D32C59" w:rsidRDefault="007B7324" w:rsidP="007B7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3" w:type="pct"/>
          </w:tcPr>
          <w:p w14:paraId="18FDB46B" w14:textId="6E324606" w:rsidR="00D32C59" w:rsidRPr="00D32C59" w:rsidRDefault="008339BD" w:rsidP="007B7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Pr>
                <w:rFonts w:cs="Times New Roman"/>
                <w:szCs w:val="20"/>
              </w:rPr>
              <w:t xml:space="preserve"> </w:t>
            </w:r>
            <w:r w:rsidRPr="008339BD">
              <w:rPr>
                <w:rFonts w:ascii="Times New Roman" w:hAnsi="Times New Roman" w:cs="Times New Roman"/>
                <w:sz w:val="20"/>
                <w:szCs w:val="20"/>
              </w:rPr>
              <w:t>Ūkio subjektas, teikdamas reguliuojamų paslaugų (produktų) kainų projektus, Reguliuojančiajai institucijai turi pateikti planuojamų būtinųjų sąnaudų pagrindimą. Jeigu Ūkio subjektas nepateikia reikiamos informacijos ir neįrodo sąnaudų būtinumo ir pagrįstumo, laikoma, kad Ūkio subjekto sąnaudos yra nepagrįstos. Nepagrįstos sąnaudos neįtraukiamos į reguliuojamų paslaugų (produktų) kainas</w:t>
            </w:r>
          </w:p>
        </w:tc>
        <w:tc>
          <w:tcPr>
            <w:tcW w:w="1572" w:type="pct"/>
          </w:tcPr>
          <w:p w14:paraId="57FF2DAF" w14:textId="76E40615" w:rsidR="00D32C59" w:rsidRPr="00D32C59" w:rsidRDefault="008339BD" w:rsidP="007B7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Pr>
                <w:rFonts w:cs="Times New Roman"/>
                <w:szCs w:val="20"/>
              </w:rPr>
              <w:t xml:space="preserve"> </w:t>
            </w:r>
            <w:r w:rsidRPr="008339BD">
              <w:rPr>
                <w:rFonts w:ascii="Times New Roman" w:hAnsi="Times New Roman" w:cs="Times New Roman"/>
                <w:sz w:val="20"/>
                <w:szCs w:val="20"/>
              </w:rPr>
              <w:t xml:space="preserve">Ūkio subjektas, teikdamas reguliuojamų paslaugų (produktų) kainų projektus, Reguliuojančiajai institucijai turi pateikti planuojamų būtinųjų sąnaudų pagrindimą. </w:t>
            </w:r>
            <w:r w:rsidRPr="008339BD">
              <w:rPr>
                <w:rFonts w:ascii="Times New Roman" w:hAnsi="Times New Roman" w:cs="Times New Roman"/>
                <w:strike/>
                <w:sz w:val="20"/>
                <w:szCs w:val="20"/>
              </w:rPr>
              <w:t>Jeigu Ūkio subjektas nepateikia reikiamos informacijos ir neįrodo sąnaudų būtinumo ir pagrįstumo, laikoma, kad Ūkio subjekto sąnaudos yra nepagrįstos. Nepagrįstos sąnaudos neįtraukiamos į reguliuojamų paslaugų (produktų) kainas</w:t>
            </w:r>
          </w:p>
        </w:tc>
        <w:tc>
          <w:tcPr>
            <w:tcW w:w="1572" w:type="pct"/>
          </w:tcPr>
          <w:p w14:paraId="738870FB" w14:textId="6902EDB9" w:rsidR="00D32C59" w:rsidRPr="00D32C59" w:rsidRDefault="00004813" w:rsidP="007B7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Ūkio s</w:t>
            </w:r>
            <w:r w:rsidR="008339BD">
              <w:rPr>
                <w:rFonts w:ascii="Times New Roman" w:hAnsi="Times New Roman" w:cs="Times New Roman"/>
                <w:sz w:val="20"/>
                <w:szCs w:val="20"/>
              </w:rPr>
              <w:t>ubjektas t</w:t>
            </w:r>
            <w:r w:rsidR="008339BD" w:rsidRPr="008339BD">
              <w:rPr>
                <w:rFonts w:ascii="Times New Roman" w:hAnsi="Times New Roman" w:cs="Times New Roman"/>
                <w:sz w:val="20"/>
                <w:szCs w:val="20"/>
              </w:rPr>
              <w:t>eikdamas kainų projektus turi pateikti planuojamų būtinųjų sąnaudų pagrindimą – tai yra patiriamų faktinių sąnaudų suvestines ir numatomų pokyčių paaiškinimą</w:t>
            </w:r>
            <w:r w:rsidR="008339BD">
              <w:rPr>
                <w:rFonts w:ascii="Times New Roman" w:hAnsi="Times New Roman" w:cs="Times New Roman"/>
                <w:sz w:val="20"/>
                <w:szCs w:val="20"/>
              </w:rPr>
              <w:t>. Teikiant projektus n</w:t>
            </w:r>
            <w:r w:rsidR="008339BD" w:rsidRPr="008339BD">
              <w:rPr>
                <w:rFonts w:ascii="Times New Roman" w:hAnsi="Times New Roman" w:cs="Times New Roman"/>
                <w:sz w:val="20"/>
                <w:szCs w:val="20"/>
              </w:rPr>
              <w:t xml:space="preserve">ėra prasmės aprašyti esamą situaciją, o </w:t>
            </w:r>
            <w:r w:rsidR="008339BD" w:rsidRPr="00004813">
              <w:rPr>
                <w:rFonts w:ascii="Times New Roman" w:hAnsi="Times New Roman" w:cs="Times New Roman"/>
                <w:sz w:val="20"/>
                <w:szCs w:val="20"/>
                <w:u w:val="single"/>
              </w:rPr>
              <w:t>pakaktų tik paaiškinti pokyčius, planuojamus naujam laikotarpiui.</w:t>
            </w:r>
          </w:p>
        </w:tc>
      </w:tr>
      <w:tr w:rsidR="00D32C59" w:rsidRPr="00D32C59" w14:paraId="4E6D332B" w14:textId="77777777" w:rsidTr="009148DA">
        <w:tc>
          <w:tcPr>
            <w:tcW w:w="233" w:type="pct"/>
          </w:tcPr>
          <w:p w14:paraId="7FD92981" w14:textId="452CD70A" w:rsidR="00D32C59" w:rsidRPr="00D32C59" w:rsidRDefault="007B7324" w:rsidP="007B7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623" w:type="pct"/>
          </w:tcPr>
          <w:p w14:paraId="491A25E9" w14:textId="554CBC24" w:rsidR="00D32C59" w:rsidRPr="00D32C59" w:rsidRDefault="00E015FE" w:rsidP="007B7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13. &lt;...&gt; </w:t>
            </w:r>
            <w:r w:rsidRPr="00E015FE">
              <w:rPr>
                <w:rFonts w:ascii="Times New Roman" w:hAnsi="Times New Roman" w:cs="Times New Roman"/>
                <w:sz w:val="20"/>
                <w:szCs w:val="20"/>
              </w:rPr>
              <w:t>Kol konkurenciniam šilumos vartotojui nėra nustatytos šilumos kainos, jis už suvartotą šilumą atsiskaito šilumos kainomis, nustatytomis CŠT sistemos vartotojams. Abiem atvejais konkurenciniam šilumos vartotojui nustatytos šilumos kainos galioja tiek, kiek galioja šilumos tiekėjui nustatyta šilumos bazinė kaina.</w:t>
            </w:r>
          </w:p>
        </w:tc>
        <w:tc>
          <w:tcPr>
            <w:tcW w:w="1572" w:type="pct"/>
          </w:tcPr>
          <w:p w14:paraId="0B2D32CA" w14:textId="6C6EC02F" w:rsidR="00D32C59" w:rsidRPr="00D32C59" w:rsidRDefault="00E015FE" w:rsidP="007B7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13. &lt;...&gt; </w:t>
            </w:r>
            <w:r w:rsidRPr="00E015FE">
              <w:rPr>
                <w:rFonts w:ascii="Times New Roman" w:hAnsi="Times New Roman" w:cs="Times New Roman"/>
                <w:sz w:val="20"/>
                <w:szCs w:val="20"/>
              </w:rPr>
              <w:t xml:space="preserve">Kol konkurenciniam šilumos vartotojui nėra nustatytos šilumos kainos, jis už suvartotą šilumą atsiskaito šilumos kainomis, nustatytomis CŠT sistemos vartotojams. </w:t>
            </w:r>
            <w:r w:rsidRPr="00E015FE">
              <w:rPr>
                <w:rFonts w:ascii="Times New Roman" w:hAnsi="Times New Roman" w:cs="Times New Roman"/>
                <w:strike/>
                <w:sz w:val="20"/>
                <w:szCs w:val="20"/>
              </w:rPr>
              <w:t>Abiem atvejais</w:t>
            </w:r>
            <w:r w:rsidRPr="00E015FE">
              <w:rPr>
                <w:rFonts w:ascii="Times New Roman" w:hAnsi="Times New Roman" w:cs="Times New Roman"/>
                <w:sz w:val="20"/>
                <w:szCs w:val="20"/>
              </w:rPr>
              <w:t xml:space="preserve"> </w:t>
            </w:r>
            <w:r w:rsidRPr="00E015FE">
              <w:rPr>
                <w:rFonts w:ascii="Times New Roman" w:hAnsi="Times New Roman" w:cs="Times New Roman"/>
                <w:b/>
                <w:bCs/>
                <w:sz w:val="20"/>
                <w:szCs w:val="20"/>
              </w:rPr>
              <w:t>Konkurenciniam šilumos vartotojui gali būti nustatyta šilumos kainos formulė, kuri nurodoma šilumos pardavimo-pirkimo sutartyje ir taikoma sutarties galiojimo laikotarpiu</w:t>
            </w:r>
            <w:r>
              <w:rPr>
                <w:rFonts w:ascii="Times New Roman" w:hAnsi="Times New Roman" w:cs="Times New Roman"/>
                <w:b/>
                <w:bCs/>
                <w:sz w:val="20"/>
                <w:szCs w:val="20"/>
              </w:rPr>
              <w:t>.</w:t>
            </w:r>
            <w:r w:rsidRPr="00E015FE">
              <w:rPr>
                <w:rFonts w:ascii="Times New Roman" w:hAnsi="Times New Roman" w:cs="Times New Roman"/>
                <w:sz w:val="20"/>
                <w:szCs w:val="20"/>
              </w:rPr>
              <w:t xml:space="preserve"> </w:t>
            </w:r>
            <w:r w:rsidRPr="00EE16C1">
              <w:rPr>
                <w:rFonts w:ascii="Times New Roman" w:hAnsi="Times New Roman" w:cs="Times New Roman"/>
                <w:strike/>
                <w:sz w:val="20"/>
                <w:szCs w:val="20"/>
              </w:rPr>
              <w:t>konkurenciniam šilumos vartotojui nustatytos šilumos kainos galioja tiek, kiek galioja šilumos tiekėjui nustatyta šilumos bazinė kaina</w:t>
            </w:r>
          </w:p>
        </w:tc>
        <w:tc>
          <w:tcPr>
            <w:tcW w:w="1572" w:type="pct"/>
          </w:tcPr>
          <w:p w14:paraId="60022C5F" w14:textId="16545FC8" w:rsidR="00D32C59" w:rsidRPr="00D32C59" w:rsidRDefault="00EE16C1" w:rsidP="007B7324">
            <w:pPr>
              <w:spacing w:after="0" w:line="240" w:lineRule="auto"/>
              <w:jc w:val="both"/>
              <w:rPr>
                <w:rFonts w:ascii="Times New Roman" w:hAnsi="Times New Roman" w:cs="Times New Roman"/>
                <w:sz w:val="20"/>
                <w:szCs w:val="20"/>
              </w:rPr>
            </w:pPr>
            <w:r w:rsidRPr="00EE16C1">
              <w:rPr>
                <w:rFonts w:ascii="Times New Roman" w:hAnsi="Times New Roman" w:cs="Times New Roman"/>
                <w:sz w:val="20"/>
                <w:szCs w:val="20"/>
              </w:rPr>
              <w:t>Potencialūs centralizuotai tiekiamos šilumos vartotojai</w:t>
            </w:r>
            <w:r>
              <w:rPr>
                <w:rFonts w:ascii="Times New Roman" w:hAnsi="Times New Roman" w:cs="Times New Roman"/>
                <w:sz w:val="20"/>
                <w:szCs w:val="20"/>
              </w:rPr>
              <w:t>,</w:t>
            </w:r>
            <w:r w:rsidRPr="00EE16C1">
              <w:rPr>
                <w:rFonts w:ascii="Times New Roman" w:hAnsi="Times New Roman" w:cs="Times New Roman"/>
                <w:sz w:val="20"/>
                <w:szCs w:val="20"/>
              </w:rPr>
              <w:t xml:space="preserve"> pasirinkdami šildymo būdą</w:t>
            </w:r>
            <w:r>
              <w:rPr>
                <w:rFonts w:ascii="Times New Roman" w:hAnsi="Times New Roman" w:cs="Times New Roman"/>
                <w:sz w:val="20"/>
                <w:szCs w:val="20"/>
              </w:rPr>
              <w:t>,</w:t>
            </w:r>
            <w:r w:rsidRPr="00EE16C1">
              <w:rPr>
                <w:rFonts w:ascii="Times New Roman" w:hAnsi="Times New Roman" w:cs="Times New Roman"/>
                <w:sz w:val="20"/>
                <w:szCs w:val="20"/>
              </w:rPr>
              <w:t xml:space="preserve"> </w:t>
            </w:r>
            <w:r w:rsidRPr="00004813">
              <w:rPr>
                <w:rFonts w:ascii="Times New Roman" w:hAnsi="Times New Roman" w:cs="Times New Roman"/>
                <w:sz w:val="20"/>
                <w:szCs w:val="20"/>
                <w:u w:val="single"/>
              </w:rPr>
              <w:t>reikalauja labiau apibrėžtų kainos garantijų ir ilgesnio laikotarpio nei vienas reguliacinis periodas,</w:t>
            </w:r>
            <w:r w:rsidRPr="00EE16C1">
              <w:rPr>
                <w:rFonts w:ascii="Times New Roman" w:hAnsi="Times New Roman" w:cs="Times New Roman"/>
                <w:sz w:val="20"/>
                <w:szCs w:val="20"/>
              </w:rPr>
              <w:t xml:space="preserve"> kad sutiktų atsisakyti savo alternatyvių investicijų į kitus šildymo būdus.  Tokia formuluotė sudarytų galimybes šilumos tiekėjams lanksčiau ir patraukliau plėsti paslaugas, kurios naudingos visiems CŠT sistemų naudotojams. Formulės taikymas galėtų būti patikrinamas kiekvienos bazinės kainos nustatymo metu.</w:t>
            </w:r>
          </w:p>
        </w:tc>
      </w:tr>
      <w:tr w:rsidR="00D32C59" w:rsidRPr="00D32C59" w14:paraId="43F28359" w14:textId="77777777" w:rsidTr="009148DA">
        <w:tc>
          <w:tcPr>
            <w:tcW w:w="233" w:type="pct"/>
          </w:tcPr>
          <w:p w14:paraId="4E50DFB9" w14:textId="64426B7B" w:rsidR="00D32C59" w:rsidRPr="00D32C59" w:rsidRDefault="007B7324" w:rsidP="007B7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3" w:type="pct"/>
          </w:tcPr>
          <w:p w14:paraId="0A04A5F8" w14:textId="6BD0D04E" w:rsidR="009148DA" w:rsidRPr="00653C69" w:rsidRDefault="009148DA" w:rsidP="009148DA">
            <w:pPr>
              <w:widowControl w:val="0"/>
              <w:tabs>
                <w:tab w:val="left" w:pos="1134"/>
                <w:tab w:val="left" w:pos="1701"/>
              </w:tabs>
              <w:spacing w:after="0" w:line="240" w:lineRule="auto"/>
              <w:jc w:val="both"/>
              <w:rPr>
                <w:rFonts w:ascii="Times New Roman" w:hAnsi="Times New Roman" w:cs="Times New Roman"/>
                <w:sz w:val="20"/>
                <w:szCs w:val="20"/>
              </w:rPr>
            </w:pPr>
            <w:bookmarkStart w:id="0" w:name="_Ref20812007"/>
            <w:r w:rsidRPr="00653C69">
              <w:rPr>
                <w:rFonts w:ascii="Times New Roman" w:hAnsi="Times New Roman" w:cs="Times New Roman"/>
                <w:sz w:val="20"/>
                <w:szCs w:val="20"/>
              </w:rPr>
              <w:t>29.4.1. jei Ūkio subjekto efektyvumas mažesnis, nei atitinkamos Ūkio subjektų grupės efektyvumas, Ūkio subjektui nustatoma jo grupės efektyvumą atitinkanti šių sąnaudų apimtis. Reguliuojančioji institucija, atsižvelgdama į Ūkio subjekto faktines sąnaudas, investicijų planą ir į galimybę grupės atitinkamų lyginamųjų rodiklių reikšmes pasiekti pirmaisiais reguliavimo periodo metais, gali Ūkio subjektui suformuoti kitokias, nei grupės atitinkamų lyginamųjų rodiklių reikšmės, efektyvumo užduotis, kurias Ūkio subjektas turės pasiekti ateinančiu reguliavimo periodu;</w:t>
            </w:r>
            <w:bookmarkEnd w:id="0"/>
          </w:p>
          <w:p w14:paraId="0FA393A7" w14:textId="77777777" w:rsidR="00D32C59" w:rsidRPr="00653C69" w:rsidRDefault="00D32C59" w:rsidP="007B7324">
            <w:pPr>
              <w:spacing w:after="0" w:line="240" w:lineRule="auto"/>
              <w:jc w:val="both"/>
              <w:rPr>
                <w:rFonts w:ascii="Times New Roman" w:hAnsi="Times New Roman" w:cs="Times New Roman"/>
                <w:sz w:val="20"/>
                <w:szCs w:val="20"/>
              </w:rPr>
            </w:pPr>
          </w:p>
        </w:tc>
        <w:tc>
          <w:tcPr>
            <w:tcW w:w="1572" w:type="pct"/>
          </w:tcPr>
          <w:p w14:paraId="1164202C" w14:textId="3066CC7E" w:rsidR="00D32C59" w:rsidRPr="00653C69" w:rsidRDefault="00653C69" w:rsidP="007B7324">
            <w:pPr>
              <w:spacing w:after="0" w:line="240" w:lineRule="auto"/>
              <w:jc w:val="both"/>
              <w:rPr>
                <w:rFonts w:ascii="Times New Roman" w:hAnsi="Times New Roman" w:cs="Times New Roman"/>
                <w:sz w:val="20"/>
                <w:szCs w:val="20"/>
              </w:rPr>
            </w:pPr>
            <w:r w:rsidRPr="00653C69">
              <w:rPr>
                <w:rFonts w:ascii="Times New Roman" w:hAnsi="Times New Roman" w:cs="Times New Roman"/>
                <w:sz w:val="20"/>
                <w:szCs w:val="20"/>
              </w:rPr>
              <w:t>29.4.1. jei Ūkio subjekto efektyvumas mažesnis, nei atitinkamos Ūkio subjektų grupės efektyvumas</w:t>
            </w:r>
            <w:r>
              <w:rPr>
                <w:rFonts w:ascii="Times New Roman" w:hAnsi="Times New Roman" w:cs="Times New Roman"/>
                <w:sz w:val="20"/>
                <w:szCs w:val="20"/>
              </w:rPr>
              <w:t xml:space="preserve">, </w:t>
            </w:r>
            <w:r w:rsidRPr="00653C69">
              <w:rPr>
                <w:rFonts w:ascii="Times New Roman" w:hAnsi="Times New Roman" w:cs="Times New Roman"/>
                <w:strike/>
                <w:sz w:val="20"/>
                <w:szCs w:val="20"/>
              </w:rPr>
              <w:t>Ūkio subjektui nustatoma jo grupės efektyvumą atitinkanti šių sąnaudų apimtis</w:t>
            </w:r>
            <w:r w:rsidRPr="00653C69">
              <w:rPr>
                <w:rFonts w:ascii="Times New Roman" w:hAnsi="Times New Roman" w:cs="Times New Roman"/>
                <w:b/>
                <w:bCs/>
                <w:sz w:val="20"/>
                <w:szCs w:val="20"/>
              </w:rPr>
              <w:t xml:space="preserve"> gilėjančios lyginamosios analizės būdu tikrinamos efektyvumą lemiančios sąnaudos ir jų atsiradimo priežastys</w:t>
            </w:r>
            <w:r>
              <w:rPr>
                <w:rFonts w:ascii="Times New Roman" w:hAnsi="Times New Roman" w:cs="Times New Roman"/>
                <w:sz w:val="20"/>
                <w:szCs w:val="20"/>
              </w:rPr>
              <w:t xml:space="preserve">. </w:t>
            </w:r>
            <w:r w:rsidRPr="00653C69">
              <w:rPr>
                <w:rFonts w:ascii="Times New Roman" w:hAnsi="Times New Roman" w:cs="Times New Roman"/>
                <w:sz w:val="20"/>
                <w:szCs w:val="20"/>
              </w:rPr>
              <w:t>Reguliuojančioji institucija, atsižvelgdama į Ūkio subjekto faktines sąnaudas, investicijų planą ir į galimybę grupės atitinkamų lyginamųjų rodiklių reikšmes pasiekti</w:t>
            </w:r>
            <w:r>
              <w:rPr>
                <w:rFonts w:ascii="Times New Roman" w:hAnsi="Times New Roman" w:cs="Times New Roman"/>
                <w:sz w:val="20"/>
                <w:szCs w:val="20"/>
              </w:rPr>
              <w:t xml:space="preserve"> </w:t>
            </w:r>
            <w:r>
              <w:rPr>
                <w:rFonts w:ascii="Times New Roman" w:hAnsi="Times New Roman" w:cs="Times New Roman"/>
                <w:b/>
                <w:bCs/>
                <w:sz w:val="20"/>
                <w:szCs w:val="20"/>
              </w:rPr>
              <w:t>per</w:t>
            </w:r>
            <w:r w:rsidRPr="00653C69">
              <w:rPr>
                <w:rFonts w:ascii="Times New Roman" w:hAnsi="Times New Roman" w:cs="Times New Roman"/>
                <w:sz w:val="20"/>
                <w:szCs w:val="20"/>
              </w:rPr>
              <w:t xml:space="preserve"> </w:t>
            </w:r>
            <w:r w:rsidRPr="00653C69">
              <w:rPr>
                <w:rFonts w:ascii="Times New Roman" w:hAnsi="Times New Roman" w:cs="Times New Roman"/>
                <w:strike/>
                <w:sz w:val="20"/>
                <w:szCs w:val="20"/>
              </w:rPr>
              <w:t>pirmaisiais</w:t>
            </w:r>
            <w:r w:rsidRPr="00653C69">
              <w:rPr>
                <w:rFonts w:ascii="Times New Roman" w:hAnsi="Times New Roman" w:cs="Times New Roman"/>
                <w:sz w:val="20"/>
                <w:szCs w:val="20"/>
              </w:rPr>
              <w:t xml:space="preserve"> reguliavimo </w:t>
            </w:r>
            <w:r w:rsidRPr="00653C69">
              <w:rPr>
                <w:rFonts w:ascii="Times New Roman" w:hAnsi="Times New Roman" w:cs="Times New Roman"/>
                <w:strike/>
                <w:sz w:val="20"/>
                <w:szCs w:val="20"/>
              </w:rPr>
              <w:t>periodo metais</w:t>
            </w:r>
            <w:r>
              <w:rPr>
                <w:rFonts w:ascii="Times New Roman" w:hAnsi="Times New Roman" w:cs="Times New Roman"/>
                <w:sz w:val="20"/>
                <w:szCs w:val="20"/>
              </w:rPr>
              <w:t xml:space="preserve"> </w:t>
            </w:r>
            <w:r>
              <w:rPr>
                <w:rFonts w:ascii="Times New Roman" w:hAnsi="Times New Roman" w:cs="Times New Roman"/>
                <w:b/>
                <w:bCs/>
                <w:sz w:val="20"/>
                <w:szCs w:val="20"/>
              </w:rPr>
              <w:t>periodą</w:t>
            </w:r>
            <w:r w:rsidRPr="00653C69">
              <w:rPr>
                <w:rFonts w:ascii="Times New Roman" w:hAnsi="Times New Roman" w:cs="Times New Roman"/>
                <w:sz w:val="20"/>
                <w:szCs w:val="20"/>
              </w:rPr>
              <w:t>, gali Ūkio subjektui suformuoti kitokias, nei grupės atitinkamų lyginamųjų rodiklių reikšmės, efektyvumo užduotis, kurias Ūkio subjektas turės pasiekti ateinančiu reguliavimo periodu</w:t>
            </w:r>
            <w:r>
              <w:rPr>
                <w:rFonts w:ascii="Times New Roman" w:hAnsi="Times New Roman" w:cs="Times New Roman"/>
                <w:sz w:val="20"/>
                <w:szCs w:val="20"/>
              </w:rPr>
              <w:t xml:space="preserve">. </w:t>
            </w:r>
            <w:r w:rsidRPr="00653C69">
              <w:rPr>
                <w:rFonts w:ascii="Times New Roman" w:hAnsi="Times New Roman" w:cs="Times New Roman"/>
                <w:b/>
                <w:bCs/>
                <w:sz w:val="20"/>
                <w:szCs w:val="20"/>
              </w:rPr>
              <w:t>Efektyvumo užduotis negali viršyti bendrųjų faktinių sąnaudų daugiau kaip 1 procentu per metus, jeigu nėra VERT patvirtintų technologinių ar organizacinių sprendimų, kurie užtikrintų reikalaujamą efektyvumą, nedidinant bendrųjų šilumos tiekimo sąnaudų per reguliavimo periodą</w:t>
            </w:r>
            <w:r w:rsidRPr="00653C69">
              <w:rPr>
                <w:rFonts w:ascii="Times New Roman" w:hAnsi="Times New Roman" w:cs="Times New Roman"/>
                <w:sz w:val="20"/>
                <w:szCs w:val="20"/>
              </w:rPr>
              <w:t xml:space="preserve">.  </w:t>
            </w:r>
          </w:p>
        </w:tc>
        <w:tc>
          <w:tcPr>
            <w:tcW w:w="1572" w:type="pct"/>
          </w:tcPr>
          <w:p w14:paraId="50689C3A" w14:textId="77777777" w:rsidR="00D32C59" w:rsidRPr="00A42D9D" w:rsidRDefault="00A42D9D" w:rsidP="00A42D9D">
            <w:pPr>
              <w:spacing w:after="0" w:line="240" w:lineRule="auto"/>
              <w:jc w:val="both"/>
              <w:rPr>
                <w:rFonts w:ascii="Times New Roman" w:hAnsi="Times New Roman" w:cs="Times New Roman"/>
                <w:sz w:val="20"/>
                <w:szCs w:val="20"/>
              </w:rPr>
            </w:pPr>
            <w:r w:rsidRPr="00A42D9D">
              <w:rPr>
                <w:rFonts w:ascii="Times New Roman" w:hAnsi="Times New Roman" w:cs="Times New Roman"/>
                <w:sz w:val="20"/>
                <w:szCs w:val="20"/>
              </w:rPr>
              <w:t>Mažesnį efektyvumą (padidintas sąnaudas) paprastai lemia objektyvios priežastys, kurias reikia įvertinti. Tarp jų: vartotojų struktūra, jų tankis CŠT sistemoje, katilinių skaičius atskirose CŠT sistemose, CŠT sistemų skaičius ir jų išsidėstymas, karštos vandens vartojimo pokyčiai, renovacijos tempai ir mastai ar kitos nuo reguliuojamo subjekto mažai priklausančios priežastys.</w:t>
            </w:r>
          </w:p>
          <w:p w14:paraId="395E1618" w14:textId="77777777" w:rsidR="00A42D9D" w:rsidRDefault="00A42D9D" w:rsidP="00A42D9D">
            <w:pPr>
              <w:pStyle w:val="CommentText"/>
              <w:jc w:val="both"/>
            </w:pPr>
          </w:p>
          <w:p w14:paraId="6CE9560D" w14:textId="4D11A7C5" w:rsidR="00A42D9D" w:rsidRPr="00A42D9D" w:rsidRDefault="00A42D9D" w:rsidP="00A42D9D">
            <w:pPr>
              <w:pStyle w:val="CommentText"/>
              <w:jc w:val="both"/>
            </w:pPr>
            <w:r w:rsidRPr="00A42D9D">
              <w:t>Taikant lyginamosios analizės metodą (</w:t>
            </w:r>
            <w:r w:rsidRPr="00004813">
              <w:rPr>
                <w:u w:val="single"/>
              </w:rPr>
              <w:t>vidurkio viršijimo netoleravimą</w:t>
            </w:r>
            <w:r w:rsidRPr="00A42D9D">
              <w:t xml:space="preserve">) visada dalis ūkio subjektų (50 </w:t>
            </w:r>
            <w:r w:rsidRPr="00A42D9D">
              <w:rPr>
                <w:lang w:val="en-US"/>
              </w:rPr>
              <w:t>%)</w:t>
            </w:r>
            <w:r w:rsidRPr="00A42D9D">
              <w:t xml:space="preserve">  viršys lyginamuosius rodiklius, nors bus jau įdiegę geriausias tuo laiku prieinamas technologijas. Pavyzdžiui, nauji katilai visada kiek geresni negu senieji, tačiau kol jie nenusidėvėję jų keisti nėra ekonominio pagrindo – didintų kitas sąnaudas. Vadinasi „</w:t>
            </w:r>
            <w:r w:rsidRPr="00004813">
              <w:rPr>
                <w:u w:val="single"/>
              </w:rPr>
              <w:t>mechaninis“ lyginamosios analizės taikymas iš anksto užprogramuoja neišvengiamus finansinius nuostolius pusei reguliuojamų įmonių</w:t>
            </w:r>
            <w:r w:rsidRPr="00A42D9D">
              <w:t>. Dėl to lyginamoji analizė reguliuojamoje kainodaroje naudojama tik</w:t>
            </w:r>
            <w:r>
              <w:t>,</w:t>
            </w:r>
            <w:r w:rsidRPr="00A42D9D">
              <w:t xml:space="preserve"> kaip pagalbinė priemonė sąnaudų priežastingumo ryšiams nustatyti arba selektyviai, pavyzdžiui, netiesioginių sąnaudų dydžio įvertinimui, kadangi jos labiau susiję su organizaciniu efektyvumu, bet ne su technologinėmis investicijomis. </w:t>
            </w:r>
          </w:p>
          <w:p w14:paraId="4E972310" w14:textId="77777777" w:rsidR="00A42D9D" w:rsidRPr="00A42D9D" w:rsidRDefault="00A42D9D" w:rsidP="00A42D9D">
            <w:pPr>
              <w:pStyle w:val="CommentText"/>
              <w:jc w:val="both"/>
            </w:pPr>
          </w:p>
          <w:p w14:paraId="1728FDD9" w14:textId="77777777" w:rsidR="00A42D9D" w:rsidRPr="00A42D9D" w:rsidRDefault="00A42D9D" w:rsidP="00A42D9D">
            <w:pPr>
              <w:pStyle w:val="CommentText"/>
              <w:jc w:val="both"/>
            </w:pPr>
            <w:r w:rsidRPr="00A42D9D">
              <w:lastRenderedPageBreak/>
              <w:t xml:space="preserve">Vis dėl to, jeigu palyginamoji analizė taikoma, kaip pagrindinis kainodaros instrumentas, </w:t>
            </w:r>
            <w:r w:rsidRPr="00004813">
              <w:rPr>
                <w:u w:val="single"/>
              </w:rPr>
              <w:t>reikėtų apriboti šio metodo galimai daromą žalą įmonių finansiniam gyvybingumui.</w:t>
            </w:r>
            <w:r w:rsidRPr="00A42D9D">
              <w:t xml:space="preserve"> Pavyzdžiui, kad dėl lyginamosios analizės nepripažįstamos sąnaudos nesudarytų daugiau, kaip 1 proc. bendrųjų metinių sąnaudų. Tai yra protingumo kriterijų atitinkanti reali efektyvinimo užduotis.                 </w:t>
            </w:r>
          </w:p>
          <w:p w14:paraId="1A9F29ED" w14:textId="77777777" w:rsidR="00A42D9D" w:rsidRPr="00A42D9D" w:rsidRDefault="00A42D9D" w:rsidP="00A42D9D">
            <w:pPr>
              <w:pStyle w:val="CommentText"/>
              <w:jc w:val="both"/>
            </w:pPr>
          </w:p>
          <w:p w14:paraId="4932FBCB" w14:textId="31C10A6A" w:rsidR="00A42D9D" w:rsidRPr="00653C69" w:rsidRDefault="00A42D9D" w:rsidP="00A42D9D">
            <w:pPr>
              <w:spacing w:after="0" w:line="240" w:lineRule="auto"/>
              <w:jc w:val="both"/>
              <w:rPr>
                <w:rFonts w:ascii="Times New Roman" w:hAnsi="Times New Roman" w:cs="Times New Roman"/>
                <w:sz w:val="20"/>
                <w:szCs w:val="20"/>
              </w:rPr>
            </w:pPr>
            <w:r w:rsidRPr="00A42D9D">
              <w:rPr>
                <w:rFonts w:ascii="Times New Roman" w:hAnsi="Times New Roman" w:cs="Times New Roman"/>
                <w:sz w:val="20"/>
                <w:szCs w:val="20"/>
              </w:rPr>
              <w:t xml:space="preserve">Didesnio dydžio efektyvumo užduotis (daugiau nei 1 procentas metinių sąnaudų) </w:t>
            </w:r>
            <w:bookmarkStart w:id="1" w:name="_Hlk54865435"/>
            <w:r w:rsidRPr="00A42D9D">
              <w:rPr>
                <w:rFonts w:ascii="Times New Roman" w:hAnsi="Times New Roman" w:cs="Times New Roman"/>
                <w:sz w:val="20"/>
                <w:szCs w:val="20"/>
              </w:rPr>
              <w:t xml:space="preserve">taikytinas tik tuo atveju, jeigu </w:t>
            </w:r>
            <w:r>
              <w:rPr>
                <w:rFonts w:ascii="Times New Roman" w:hAnsi="Times New Roman" w:cs="Times New Roman"/>
                <w:sz w:val="20"/>
                <w:szCs w:val="20"/>
              </w:rPr>
              <w:t>Taryba</w:t>
            </w:r>
            <w:r w:rsidRPr="00A42D9D">
              <w:rPr>
                <w:rFonts w:ascii="Times New Roman" w:hAnsi="Times New Roman" w:cs="Times New Roman"/>
                <w:sz w:val="20"/>
                <w:szCs w:val="20"/>
              </w:rPr>
              <w:t xml:space="preserve"> disponuoja įrodymais, kad </w:t>
            </w:r>
            <w:r w:rsidRPr="00E03957">
              <w:rPr>
                <w:rFonts w:ascii="Times New Roman" w:hAnsi="Times New Roman" w:cs="Times New Roman"/>
                <w:sz w:val="20"/>
                <w:szCs w:val="20"/>
                <w:u w:val="single"/>
              </w:rPr>
              <w:t>yra technologiškai patikrintų sprendimų, kurie garantuotų lyginamojo rodiklio suefektyvinimą ir nepadidintų kitų (bendrųjų) sąnaudų adekvačiomis sąlygomis</w:t>
            </w:r>
            <w:r w:rsidR="00004813">
              <w:rPr>
                <w:rFonts w:ascii="Times New Roman" w:hAnsi="Times New Roman" w:cs="Times New Roman"/>
                <w:sz w:val="20"/>
                <w:szCs w:val="20"/>
              </w:rPr>
              <w:t xml:space="preserve"> per reguliavimo periodą</w:t>
            </w:r>
            <w:r w:rsidRPr="00A42D9D">
              <w:rPr>
                <w:rFonts w:ascii="Times New Roman" w:hAnsi="Times New Roman" w:cs="Times New Roman"/>
                <w:sz w:val="20"/>
                <w:szCs w:val="20"/>
              </w:rPr>
              <w:t>. Net ir šiuo atveju reguliuojamam subjektui turėtų būti suteikiama laiko (pavyzdžiui, vienas reguliacinis periodas) įdiegti ir pradėti eksploatuoti naujas technologijas</w:t>
            </w:r>
            <w:bookmarkEnd w:id="1"/>
            <w:r w:rsidRPr="00A42D9D">
              <w:rPr>
                <w:rFonts w:ascii="Times New Roman" w:hAnsi="Times New Roman" w:cs="Times New Roman"/>
                <w:sz w:val="20"/>
                <w:szCs w:val="20"/>
              </w:rPr>
              <w:t>.</w:t>
            </w:r>
            <w:r>
              <w:t xml:space="preserve">      </w:t>
            </w:r>
          </w:p>
        </w:tc>
      </w:tr>
      <w:tr w:rsidR="00D32C59" w:rsidRPr="00D32C59" w14:paraId="5D18684F" w14:textId="77777777" w:rsidTr="009148DA">
        <w:tc>
          <w:tcPr>
            <w:tcW w:w="233" w:type="pct"/>
          </w:tcPr>
          <w:p w14:paraId="49A5B6B0" w14:textId="63222725" w:rsidR="00D32C59" w:rsidRPr="00D32C59" w:rsidRDefault="007B7324" w:rsidP="007B7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623" w:type="pct"/>
          </w:tcPr>
          <w:p w14:paraId="0FBD8235" w14:textId="124B24FD" w:rsidR="00A42D9D" w:rsidRPr="00073FB1" w:rsidRDefault="00A42D9D" w:rsidP="00A42D9D">
            <w:pPr>
              <w:tabs>
                <w:tab w:val="left" w:pos="1134"/>
              </w:tabs>
              <w:spacing w:after="0" w:line="240" w:lineRule="auto"/>
              <w:jc w:val="both"/>
              <w:rPr>
                <w:rFonts w:ascii="Times New Roman" w:hAnsi="Times New Roman" w:cs="Times New Roman"/>
                <w:sz w:val="20"/>
                <w:szCs w:val="20"/>
              </w:rPr>
            </w:pPr>
            <w:bookmarkStart w:id="2" w:name="_Ref20222317"/>
            <w:r w:rsidRPr="00073FB1">
              <w:rPr>
                <w:rFonts w:ascii="Times New Roman" w:hAnsi="Times New Roman" w:cs="Times New Roman"/>
                <w:sz w:val="20"/>
                <w:szCs w:val="20"/>
              </w:rPr>
              <w:t>33.2. jei Ūkio subjekto faktiniai šilumos nuostoliai š</w:t>
            </w:r>
            <w:r w:rsidRPr="00073FB1">
              <w:rPr>
                <w:rFonts w:ascii="Times New Roman" w:hAnsi="Times New Roman" w:cs="Times New Roman"/>
                <w:bCs/>
                <w:sz w:val="20"/>
                <w:szCs w:val="20"/>
              </w:rPr>
              <w:t xml:space="preserve">ilumos bazinės kainos </w:t>
            </w:r>
            <w:r w:rsidRPr="00073FB1">
              <w:rPr>
                <w:rFonts w:ascii="Times New Roman" w:hAnsi="Times New Roman" w:cs="Times New Roman"/>
                <w:sz w:val="20"/>
                <w:szCs w:val="20"/>
              </w:rPr>
              <w:t>ataskaitiniu laikotarpiu buvo didesni už šilumos nuostolių kiekį, nustatomą pagal Nuostolių metodiką, tokiu atveju šilumos nuostolių apimčiai nustatyti naudojamas šilumos nuostolių kiekis, nustatomas pagal Nuostolių metodiką;</w:t>
            </w:r>
            <w:bookmarkEnd w:id="2"/>
          </w:p>
          <w:p w14:paraId="755E511B" w14:textId="77777777" w:rsidR="00D32C59" w:rsidRPr="00073FB1" w:rsidRDefault="00D32C59" w:rsidP="007B7324">
            <w:pPr>
              <w:spacing w:after="0" w:line="240" w:lineRule="auto"/>
              <w:jc w:val="both"/>
              <w:rPr>
                <w:rFonts w:ascii="Times New Roman" w:hAnsi="Times New Roman" w:cs="Times New Roman"/>
                <w:sz w:val="20"/>
                <w:szCs w:val="20"/>
              </w:rPr>
            </w:pPr>
          </w:p>
        </w:tc>
        <w:tc>
          <w:tcPr>
            <w:tcW w:w="1572" w:type="pct"/>
          </w:tcPr>
          <w:p w14:paraId="3511D599" w14:textId="197BEB66" w:rsidR="00A42D9D" w:rsidRPr="00073FB1" w:rsidRDefault="00A42D9D" w:rsidP="00A42D9D">
            <w:pPr>
              <w:tabs>
                <w:tab w:val="left" w:pos="1134"/>
              </w:tabs>
              <w:spacing w:after="0" w:line="240" w:lineRule="auto"/>
              <w:jc w:val="both"/>
              <w:rPr>
                <w:rFonts w:ascii="Times New Roman" w:hAnsi="Times New Roman" w:cs="Times New Roman"/>
                <w:sz w:val="20"/>
                <w:szCs w:val="20"/>
              </w:rPr>
            </w:pPr>
            <w:r w:rsidRPr="00073FB1">
              <w:rPr>
                <w:rFonts w:ascii="Times New Roman" w:hAnsi="Times New Roman" w:cs="Times New Roman"/>
                <w:sz w:val="20"/>
                <w:szCs w:val="20"/>
              </w:rPr>
              <w:t>33.2. jei Ūkio subjekto faktiniai šilumos nuostoliai š</w:t>
            </w:r>
            <w:r w:rsidRPr="00073FB1">
              <w:rPr>
                <w:rFonts w:ascii="Times New Roman" w:hAnsi="Times New Roman" w:cs="Times New Roman"/>
                <w:bCs/>
                <w:sz w:val="20"/>
                <w:szCs w:val="20"/>
              </w:rPr>
              <w:t xml:space="preserve">ilumos bazinės kainos </w:t>
            </w:r>
            <w:r w:rsidRPr="00073FB1">
              <w:rPr>
                <w:rFonts w:ascii="Times New Roman" w:hAnsi="Times New Roman" w:cs="Times New Roman"/>
                <w:sz w:val="20"/>
                <w:szCs w:val="20"/>
              </w:rPr>
              <w:t xml:space="preserve">ataskaitiniu laikotarpiu buvo didesni už šilumos nuostolių kiekį, nustatomą pagal Nuostolių metodiką, tokiu atveju šilumos nuostolių apimčiai nustatyti naudojamas šilumos nuostolių kiekis, nustatomas pagal Nuostolių metodiką, </w:t>
            </w:r>
            <w:r w:rsidRPr="00073FB1">
              <w:rPr>
                <w:rFonts w:ascii="Times New Roman" w:hAnsi="Times New Roman" w:cs="Times New Roman"/>
                <w:b/>
                <w:bCs/>
                <w:sz w:val="20"/>
                <w:szCs w:val="20"/>
              </w:rPr>
              <w:t>taikant 5 procentų paklaidos toleranciją</w:t>
            </w:r>
            <w:r w:rsidRPr="00073FB1">
              <w:rPr>
                <w:rFonts w:ascii="Times New Roman" w:hAnsi="Times New Roman" w:cs="Times New Roman"/>
                <w:sz w:val="20"/>
                <w:szCs w:val="20"/>
              </w:rPr>
              <w:t>;</w:t>
            </w:r>
          </w:p>
          <w:p w14:paraId="3E5A6A7A" w14:textId="77777777" w:rsidR="00D32C59" w:rsidRPr="00073FB1" w:rsidRDefault="00D32C59" w:rsidP="007B7324">
            <w:pPr>
              <w:spacing w:after="0" w:line="240" w:lineRule="auto"/>
              <w:jc w:val="both"/>
              <w:rPr>
                <w:rFonts w:ascii="Times New Roman" w:hAnsi="Times New Roman" w:cs="Times New Roman"/>
                <w:sz w:val="20"/>
                <w:szCs w:val="20"/>
              </w:rPr>
            </w:pPr>
          </w:p>
        </w:tc>
        <w:tc>
          <w:tcPr>
            <w:tcW w:w="1572" w:type="pct"/>
          </w:tcPr>
          <w:p w14:paraId="3F4FA7F3" w14:textId="43ABAE4B" w:rsidR="00073FB1" w:rsidRPr="00073FB1" w:rsidRDefault="00073FB1" w:rsidP="00073FB1">
            <w:pPr>
              <w:spacing w:after="0" w:line="240" w:lineRule="auto"/>
              <w:jc w:val="both"/>
              <w:rPr>
                <w:rFonts w:ascii="Times New Roman" w:hAnsi="Times New Roman" w:cs="Times New Roman"/>
                <w:sz w:val="20"/>
                <w:szCs w:val="20"/>
              </w:rPr>
            </w:pPr>
            <w:r w:rsidRPr="00073FB1">
              <w:rPr>
                <w:rFonts w:ascii="Times New Roman" w:hAnsi="Times New Roman" w:cs="Times New Roman"/>
                <w:sz w:val="20"/>
                <w:szCs w:val="20"/>
              </w:rPr>
              <w:t xml:space="preserve">Šilumos perdavimo vamzdynų šiluminė izoliacija sensta, ilgainiui prastėja jos kokybė, atsiranda įtrūkimai, patenka vandens ir t.t. Todėl senųjų vamzdynų šilumos perdavimo ir absoliutūs, ir santykiniai nuostoliai didėja, tačiau </w:t>
            </w:r>
            <w:r>
              <w:rPr>
                <w:rFonts w:ascii="Times New Roman" w:hAnsi="Times New Roman" w:cs="Times New Roman"/>
                <w:sz w:val="20"/>
                <w:szCs w:val="20"/>
              </w:rPr>
              <w:t>Nuostolių</w:t>
            </w:r>
            <w:r w:rsidRPr="00073FB1">
              <w:rPr>
                <w:rFonts w:ascii="Times New Roman" w:hAnsi="Times New Roman" w:cs="Times New Roman"/>
                <w:sz w:val="20"/>
                <w:szCs w:val="20"/>
              </w:rPr>
              <w:t xml:space="preserve"> metodika to nevertina. Tuo tarpu </w:t>
            </w:r>
            <w:r w:rsidRPr="00E03957">
              <w:rPr>
                <w:rFonts w:ascii="Times New Roman" w:hAnsi="Times New Roman" w:cs="Times New Roman"/>
                <w:sz w:val="20"/>
                <w:szCs w:val="20"/>
                <w:u w:val="single"/>
              </w:rPr>
              <w:t xml:space="preserve">vamzdynų keitimas siekiant tilpti į lyginamąjį rodiklį ekonominiu požiūriu </w:t>
            </w:r>
            <w:r w:rsidR="00E03957">
              <w:rPr>
                <w:rFonts w:ascii="Times New Roman" w:hAnsi="Times New Roman" w:cs="Times New Roman"/>
                <w:sz w:val="20"/>
                <w:szCs w:val="20"/>
                <w:u w:val="single"/>
              </w:rPr>
              <w:t>dažniausiai n</w:t>
            </w:r>
            <w:r w:rsidRPr="00E03957">
              <w:rPr>
                <w:rFonts w:ascii="Times New Roman" w:hAnsi="Times New Roman" w:cs="Times New Roman"/>
                <w:sz w:val="20"/>
                <w:szCs w:val="20"/>
                <w:u w:val="single"/>
              </w:rPr>
              <w:t>epateisinamas</w:t>
            </w:r>
            <w:r w:rsidR="00E03957">
              <w:rPr>
                <w:rFonts w:ascii="Times New Roman" w:hAnsi="Times New Roman" w:cs="Times New Roman"/>
                <w:sz w:val="20"/>
                <w:szCs w:val="20"/>
                <w:u w:val="single"/>
              </w:rPr>
              <w:t>, nes didina finansinius kaštus</w:t>
            </w:r>
            <w:r w:rsidRPr="00073FB1">
              <w:rPr>
                <w:rFonts w:ascii="Times New Roman" w:hAnsi="Times New Roman" w:cs="Times New Roman"/>
                <w:sz w:val="20"/>
                <w:szCs w:val="20"/>
              </w:rPr>
              <w:t xml:space="preserve">. </w:t>
            </w:r>
          </w:p>
          <w:p w14:paraId="6DEAF5EF" w14:textId="77777777" w:rsidR="00073FB1" w:rsidRPr="00073FB1" w:rsidRDefault="00073FB1" w:rsidP="00073FB1">
            <w:pPr>
              <w:spacing w:after="0" w:line="240" w:lineRule="auto"/>
              <w:jc w:val="both"/>
              <w:rPr>
                <w:rFonts w:ascii="Times New Roman" w:hAnsi="Times New Roman" w:cs="Times New Roman"/>
                <w:sz w:val="20"/>
                <w:szCs w:val="20"/>
              </w:rPr>
            </w:pPr>
          </w:p>
          <w:p w14:paraId="2DB392ED" w14:textId="69E9B7CD" w:rsidR="00D32C59" w:rsidRPr="00D32C59" w:rsidRDefault="00073FB1" w:rsidP="00073FB1">
            <w:pPr>
              <w:spacing w:after="0" w:line="240" w:lineRule="auto"/>
              <w:jc w:val="both"/>
              <w:rPr>
                <w:rFonts w:ascii="Times New Roman" w:hAnsi="Times New Roman" w:cs="Times New Roman"/>
                <w:sz w:val="20"/>
                <w:szCs w:val="20"/>
              </w:rPr>
            </w:pPr>
            <w:r w:rsidRPr="00073FB1">
              <w:rPr>
                <w:rFonts w:ascii="Times New Roman" w:hAnsi="Times New Roman" w:cs="Times New Roman"/>
                <w:sz w:val="20"/>
                <w:szCs w:val="20"/>
              </w:rPr>
              <w:t>Siūlytina šilumos perdavimo nuostolių vertinime naudoti 5 procentų padidėjimo toleranciją. Kadangi CŠT vamzdynų sistemos yra unikalios</w:t>
            </w:r>
            <w:r w:rsidRPr="00073FB1">
              <w:rPr>
                <w:rFonts w:ascii="Times New Roman" w:hAnsi="Times New Roman" w:cs="Times New Roman"/>
                <w:b/>
                <w:bCs/>
                <w:sz w:val="20"/>
                <w:szCs w:val="20"/>
              </w:rPr>
              <w:t xml:space="preserve">, </w:t>
            </w:r>
            <w:r w:rsidRPr="00E03957">
              <w:rPr>
                <w:rFonts w:ascii="Times New Roman" w:hAnsi="Times New Roman" w:cs="Times New Roman"/>
                <w:sz w:val="20"/>
                <w:szCs w:val="20"/>
                <w:u w:val="single"/>
              </w:rPr>
              <w:t>palyginamoji analizė gali būti taikoma tik vertinant tos pačios CŠT sistemos pažangos pokyčius.</w:t>
            </w:r>
          </w:p>
        </w:tc>
      </w:tr>
      <w:tr w:rsidR="00D32C59" w:rsidRPr="00D32C59" w14:paraId="7867BCB9" w14:textId="77777777" w:rsidTr="009148DA">
        <w:tc>
          <w:tcPr>
            <w:tcW w:w="233" w:type="pct"/>
          </w:tcPr>
          <w:p w14:paraId="0C669337" w14:textId="0EAF1923" w:rsidR="00D32C59" w:rsidRPr="00D32C59" w:rsidRDefault="009148DA" w:rsidP="007B7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623" w:type="pct"/>
          </w:tcPr>
          <w:p w14:paraId="562A69C3" w14:textId="22981F03" w:rsidR="00D32C59" w:rsidRPr="00D32C59" w:rsidRDefault="00D802E0" w:rsidP="007B7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39.2. </w:t>
            </w:r>
            <w:r w:rsidRPr="00D802E0">
              <w:rPr>
                <w:rFonts w:ascii="Times New Roman" w:hAnsi="Times New Roman" w:cs="Times New Roman"/>
                <w:sz w:val="20"/>
                <w:szCs w:val="20"/>
              </w:rPr>
              <w:t>įvertinus efektą dėl investicijų plane numatytų priemonių įgyvendinimo pirmaisiais šilumos bazinės kainos galiojimo metais;</w:t>
            </w:r>
          </w:p>
        </w:tc>
        <w:tc>
          <w:tcPr>
            <w:tcW w:w="1572" w:type="pct"/>
          </w:tcPr>
          <w:p w14:paraId="3428544D" w14:textId="7985C0BC" w:rsidR="00D32C59" w:rsidRPr="00D802E0" w:rsidRDefault="00D802E0" w:rsidP="007B7324">
            <w:pPr>
              <w:spacing w:after="0" w:line="240" w:lineRule="auto"/>
              <w:jc w:val="both"/>
              <w:rPr>
                <w:rFonts w:ascii="Times New Roman" w:hAnsi="Times New Roman" w:cs="Times New Roman"/>
                <w:strike/>
                <w:sz w:val="20"/>
                <w:szCs w:val="20"/>
              </w:rPr>
            </w:pPr>
            <w:r w:rsidRPr="00D802E0">
              <w:rPr>
                <w:rFonts w:ascii="Times New Roman" w:hAnsi="Times New Roman" w:cs="Times New Roman"/>
                <w:strike/>
                <w:sz w:val="20"/>
                <w:szCs w:val="20"/>
              </w:rPr>
              <w:t>39.2. įvertinus efektą dėl investicijų plane numatytų priemonių įgyvendinimo pirmaisiais šilumos bazinės kainos galiojimo metais;</w:t>
            </w:r>
          </w:p>
        </w:tc>
        <w:tc>
          <w:tcPr>
            <w:tcW w:w="1572" w:type="pct"/>
          </w:tcPr>
          <w:p w14:paraId="0A36EE7C" w14:textId="31B2B47B" w:rsidR="00D32C59" w:rsidRPr="00D32C59" w:rsidRDefault="000E032A" w:rsidP="007B7324">
            <w:pPr>
              <w:spacing w:after="0" w:line="240" w:lineRule="auto"/>
              <w:jc w:val="both"/>
              <w:rPr>
                <w:rFonts w:ascii="Times New Roman" w:hAnsi="Times New Roman" w:cs="Times New Roman"/>
                <w:sz w:val="20"/>
                <w:szCs w:val="20"/>
              </w:rPr>
            </w:pPr>
            <w:r w:rsidRPr="000E032A">
              <w:rPr>
                <w:rFonts w:ascii="Times New Roman" w:hAnsi="Times New Roman" w:cs="Times New Roman"/>
                <w:sz w:val="20"/>
                <w:szCs w:val="20"/>
              </w:rPr>
              <w:t>CŠT sektoriuje pradėjus dideliu mastu naudoti pigų biokurą naujos investicijos neduoda reikšmingo ekonominio efekto</w:t>
            </w:r>
            <w:r w:rsidRPr="00E03957">
              <w:rPr>
                <w:rFonts w:ascii="Times New Roman" w:hAnsi="Times New Roman" w:cs="Times New Roman"/>
                <w:sz w:val="20"/>
                <w:szCs w:val="20"/>
                <w:u w:val="single"/>
              </w:rPr>
              <w:t>. Siekiant padidinti energetinio ir ekonominio efektyvinimo priemonių atsiperkamumą</w:t>
            </w:r>
            <w:r w:rsidRPr="000E032A">
              <w:rPr>
                <w:rFonts w:ascii="Times New Roman" w:hAnsi="Times New Roman" w:cs="Times New Roman"/>
                <w:sz w:val="20"/>
                <w:szCs w:val="20"/>
              </w:rPr>
              <w:t xml:space="preserve">  ir jų diegimo motyvaciją, siūloma palikti įmonių dispozicijoje dėl investicijų gautą ekonominį efektą vieno reguliacinio periodo laikotarpiui. Jam pasibaigus šilumos vartotojai naudosis efektyvesne šilumos tiekimo paslauga. Taip derinami šilumos tiekėjų ir  vartotojų interesai bei supaprastėja sąnaudų apskaita</w:t>
            </w:r>
          </w:p>
        </w:tc>
      </w:tr>
      <w:tr w:rsidR="00D32C59" w:rsidRPr="00D32C59" w14:paraId="476819B6" w14:textId="77777777" w:rsidTr="009148DA">
        <w:tc>
          <w:tcPr>
            <w:tcW w:w="233" w:type="pct"/>
          </w:tcPr>
          <w:p w14:paraId="3EBFEF75" w14:textId="6E640743" w:rsidR="00D32C59" w:rsidRPr="00D32C59" w:rsidRDefault="009148DA" w:rsidP="007B7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1623" w:type="pct"/>
          </w:tcPr>
          <w:p w14:paraId="645224DB" w14:textId="17A76D2E" w:rsidR="00D32C59" w:rsidRPr="00D32C59" w:rsidRDefault="000E032A" w:rsidP="007B7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39.4. &lt;...&gt; </w:t>
            </w:r>
            <w:r w:rsidRPr="000E032A">
              <w:rPr>
                <w:rFonts w:ascii="Times New Roman" w:hAnsi="Times New Roman" w:cs="Times New Roman"/>
                <w:sz w:val="20"/>
                <w:szCs w:val="20"/>
              </w:rPr>
              <w:t>Lyginamosios kuro sąnaudos nustatomos atsižvelgiant į Metodikos 29.4 papunktį ir įvertinant investicijų plane numatytų priemonių įgyvendinimo efektą pirmaisiais šilumos bazinės kainos galiojimo metais, taip pat į Tarybos atliktų reguliuojamų paslaugų sąnaudų pagrįstumo (būtinumo) patikrinimų, atliekamų vadovaujantis Patikrinimų tvarkos aprašu, rezultatus</w:t>
            </w:r>
            <w:r>
              <w:rPr>
                <w:rFonts w:ascii="Times New Roman" w:hAnsi="Times New Roman" w:cs="Times New Roman"/>
                <w:sz w:val="20"/>
                <w:szCs w:val="20"/>
              </w:rPr>
              <w:t>;</w:t>
            </w:r>
          </w:p>
        </w:tc>
        <w:tc>
          <w:tcPr>
            <w:tcW w:w="1572" w:type="pct"/>
          </w:tcPr>
          <w:p w14:paraId="3E5CDF18" w14:textId="18230CEC" w:rsidR="00D32C59" w:rsidRPr="00D32C59" w:rsidRDefault="000E032A" w:rsidP="007B7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39.4. &lt;...&gt; </w:t>
            </w:r>
            <w:r w:rsidRPr="000E032A">
              <w:rPr>
                <w:rFonts w:ascii="Times New Roman" w:hAnsi="Times New Roman" w:cs="Times New Roman"/>
                <w:sz w:val="20"/>
                <w:szCs w:val="20"/>
              </w:rPr>
              <w:t>Lyginamosios kuro sąnaudos nustatomos atsižvelgiant į Metodikos 29.4 papunktį ir įvertinant investicijų plane numatytų priemonių įgyvendinimo efektą pirmaisiais šilumos bazinės kainos galiojimo metais, taip pat į Tarybos atliktų reguliuojamų paslaugų sąnaudų pagrįstumo (būtinumo) patikrinimų, atliekamų vadovaujantis Patikrinimų tvarkos aprašu, rezultatus</w:t>
            </w:r>
            <w:r>
              <w:rPr>
                <w:rFonts w:ascii="Times New Roman" w:hAnsi="Times New Roman" w:cs="Times New Roman"/>
                <w:sz w:val="20"/>
                <w:szCs w:val="20"/>
              </w:rPr>
              <w:t xml:space="preserve">, </w:t>
            </w:r>
            <w:r w:rsidRPr="000E032A">
              <w:rPr>
                <w:rFonts w:ascii="Times New Roman" w:hAnsi="Times New Roman" w:cs="Times New Roman"/>
                <w:b/>
                <w:bCs/>
                <w:sz w:val="20"/>
                <w:szCs w:val="20"/>
              </w:rPr>
              <w:t>įvertinančius ar egzistuoja technologiškai įmanomos ir ekonomiškai pagrįstos priemonės reikalaujamam efektyvumui pasiekti</w:t>
            </w:r>
            <w:r>
              <w:rPr>
                <w:rFonts w:ascii="Times New Roman" w:hAnsi="Times New Roman" w:cs="Times New Roman"/>
                <w:sz w:val="20"/>
                <w:szCs w:val="20"/>
              </w:rPr>
              <w:t>;</w:t>
            </w:r>
          </w:p>
        </w:tc>
        <w:tc>
          <w:tcPr>
            <w:tcW w:w="1572" w:type="pct"/>
          </w:tcPr>
          <w:p w14:paraId="0BE76706" w14:textId="31C20B56" w:rsidR="00D32C59" w:rsidRPr="00D32C59" w:rsidRDefault="000E032A" w:rsidP="007B7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Tarybos </w:t>
            </w:r>
            <w:r w:rsidRPr="00E03957">
              <w:rPr>
                <w:rFonts w:ascii="Times New Roman" w:hAnsi="Times New Roman" w:cs="Times New Roman"/>
                <w:sz w:val="20"/>
                <w:szCs w:val="20"/>
                <w:u w:val="single"/>
              </w:rPr>
              <w:t>patikrinimas privalo turėti aiškų tikslą – nustatyti</w:t>
            </w:r>
            <w:r>
              <w:rPr>
                <w:rFonts w:ascii="Times New Roman" w:hAnsi="Times New Roman" w:cs="Times New Roman"/>
                <w:sz w:val="20"/>
                <w:szCs w:val="20"/>
              </w:rPr>
              <w:t>,</w:t>
            </w:r>
            <w:r w:rsidRPr="000E032A">
              <w:rPr>
                <w:rFonts w:ascii="Times New Roman" w:hAnsi="Times New Roman" w:cs="Times New Roman"/>
                <w:sz w:val="20"/>
                <w:szCs w:val="20"/>
              </w:rPr>
              <w:t xml:space="preserve"> ar siek</w:t>
            </w:r>
            <w:r>
              <w:rPr>
                <w:rFonts w:ascii="Times New Roman" w:hAnsi="Times New Roman" w:cs="Times New Roman"/>
                <w:sz w:val="20"/>
                <w:szCs w:val="20"/>
              </w:rPr>
              <w:t>iant</w:t>
            </w:r>
            <w:r w:rsidRPr="000E032A">
              <w:rPr>
                <w:rFonts w:ascii="Times New Roman" w:hAnsi="Times New Roman" w:cs="Times New Roman"/>
                <w:sz w:val="20"/>
                <w:szCs w:val="20"/>
              </w:rPr>
              <w:t xml:space="preserve"> šio rodiklio pagerinimo iki lyginamosios vertės nepadid</w:t>
            </w:r>
            <w:r>
              <w:rPr>
                <w:rFonts w:ascii="Times New Roman" w:hAnsi="Times New Roman" w:cs="Times New Roman"/>
                <w:sz w:val="20"/>
                <w:szCs w:val="20"/>
              </w:rPr>
              <w:t>ėtų</w:t>
            </w:r>
            <w:r w:rsidRPr="000E032A">
              <w:rPr>
                <w:rFonts w:ascii="Times New Roman" w:hAnsi="Times New Roman" w:cs="Times New Roman"/>
                <w:sz w:val="20"/>
                <w:szCs w:val="20"/>
              </w:rPr>
              <w:t xml:space="preserve"> dar daugiau kitų sąnaudų ir dėl to </w:t>
            </w:r>
            <w:r>
              <w:rPr>
                <w:rFonts w:ascii="Times New Roman" w:hAnsi="Times New Roman" w:cs="Times New Roman"/>
                <w:sz w:val="20"/>
                <w:szCs w:val="20"/>
              </w:rPr>
              <w:t>išaugtų</w:t>
            </w:r>
            <w:r w:rsidRPr="000E032A">
              <w:rPr>
                <w:rFonts w:ascii="Times New Roman" w:hAnsi="Times New Roman" w:cs="Times New Roman"/>
                <w:sz w:val="20"/>
                <w:szCs w:val="20"/>
              </w:rPr>
              <w:t xml:space="preserve"> šilumos kaina planuojamame reguliaciniame periode. Jeigu taip, tai faktinis rodiklis turėtų būti pripažįstamas pagrįstu.  </w:t>
            </w:r>
          </w:p>
        </w:tc>
      </w:tr>
      <w:tr w:rsidR="00D32C59" w:rsidRPr="00D32C59" w14:paraId="0312C8E7" w14:textId="77777777" w:rsidTr="009148DA">
        <w:tc>
          <w:tcPr>
            <w:tcW w:w="233" w:type="pct"/>
          </w:tcPr>
          <w:p w14:paraId="7FAF2E5C" w14:textId="7B57D9F0" w:rsidR="00D32C59" w:rsidRPr="00D32C59" w:rsidRDefault="000E032A" w:rsidP="007B7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623" w:type="pct"/>
          </w:tcPr>
          <w:p w14:paraId="7E92780E" w14:textId="77C94EA3" w:rsidR="00D32C59" w:rsidRPr="00D32C59" w:rsidRDefault="000E032A" w:rsidP="007B7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40.3. </w:t>
            </w:r>
            <w:r w:rsidRPr="000E032A">
              <w:rPr>
                <w:rFonts w:ascii="Times New Roman" w:hAnsi="Times New Roman" w:cs="Times New Roman"/>
                <w:sz w:val="20"/>
                <w:szCs w:val="20"/>
              </w:rPr>
              <w:t>elektros energijos technologinėms reikmėms sąnaudų apimtis (kWh) vertinama atsižvelgiant į suminę šilumos gamybos ir šilumos perdavimo verslo vienetų energijos technologinėms reikmėms sąnaudų apimtį (kWh), apskaičiuotą įvertinant atitinkamus elektros energijos technologinėms reikmėms sąnaudų lyginamuosius rodiklius.</w:t>
            </w:r>
          </w:p>
        </w:tc>
        <w:tc>
          <w:tcPr>
            <w:tcW w:w="1572" w:type="pct"/>
          </w:tcPr>
          <w:p w14:paraId="54149C02" w14:textId="6BA31CA8" w:rsidR="00D32C59" w:rsidRPr="00D32C59" w:rsidRDefault="000E032A" w:rsidP="007B7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40.3. </w:t>
            </w:r>
            <w:r w:rsidRPr="000E032A">
              <w:rPr>
                <w:rFonts w:ascii="Times New Roman" w:hAnsi="Times New Roman" w:cs="Times New Roman"/>
                <w:sz w:val="20"/>
                <w:szCs w:val="20"/>
              </w:rPr>
              <w:t>elektros energijos technologinėms reikmėms sąnaudų apimtis (kWh) vertinama atsižvelgiant į suminę šilumos gamybos ir šilumos perdavimo verslo vienetų energijos technologinėms reikmėms sąnaudų apimtį (kWh), apskaičiuotą įvertinant atitinkamus elektros energijos technologinėms reikmėms sąnaudų lyginamuosius rodiklius</w:t>
            </w:r>
            <w:r>
              <w:rPr>
                <w:rFonts w:ascii="Times New Roman" w:hAnsi="Times New Roman" w:cs="Times New Roman"/>
                <w:sz w:val="20"/>
                <w:szCs w:val="20"/>
              </w:rPr>
              <w:t xml:space="preserve">, </w:t>
            </w:r>
            <w:r w:rsidRPr="000E032A">
              <w:rPr>
                <w:rFonts w:ascii="Times New Roman" w:hAnsi="Times New Roman" w:cs="Times New Roman"/>
                <w:b/>
                <w:bCs/>
                <w:sz w:val="20"/>
                <w:szCs w:val="20"/>
              </w:rPr>
              <w:t>ir atsižvelgiant į Tarybos atliktų reguliuojamų paslaugų sąnaudų pagrįstumo (būtinumo) patikrinimų, atliekamų vadovaujantis Patikrinimų tvarkos aprašu, rezultatus, įvertinančius ar egzistuoja technologiškai įmanomos ir ekonomiškai pagrįstos priemonės reikalaujamam efektyvumui pasiekti</w:t>
            </w:r>
          </w:p>
        </w:tc>
        <w:tc>
          <w:tcPr>
            <w:tcW w:w="1572" w:type="pct"/>
          </w:tcPr>
          <w:p w14:paraId="35B1DA5C" w14:textId="3879509E" w:rsidR="00D32C59" w:rsidRPr="00F238B8" w:rsidRDefault="00E03957" w:rsidP="007B7324">
            <w:pPr>
              <w:spacing w:after="0" w:line="240" w:lineRule="auto"/>
              <w:jc w:val="both"/>
              <w:rPr>
                <w:rFonts w:ascii="Times New Roman" w:hAnsi="Times New Roman" w:cs="Times New Roman"/>
                <w:sz w:val="20"/>
                <w:szCs w:val="20"/>
              </w:rPr>
            </w:pPr>
            <w:r w:rsidRPr="00F238B8">
              <w:rPr>
                <w:rFonts w:ascii="Times New Roman" w:hAnsi="Times New Roman" w:cs="Times New Roman"/>
                <w:sz w:val="20"/>
                <w:szCs w:val="20"/>
              </w:rPr>
              <w:t xml:space="preserve">Elektros sunaudojimo apribojimas </w:t>
            </w:r>
            <w:r w:rsidRPr="00F238B8">
              <w:rPr>
                <w:rFonts w:ascii="Times New Roman" w:hAnsi="Times New Roman" w:cs="Times New Roman"/>
                <w:sz w:val="20"/>
                <w:szCs w:val="20"/>
                <w:u w:val="single"/>
              </w:rPr>
              <w:t>t</w:t>
            </w:r>
            <w:r w:rsidR="000E032A" w:rsidRPr="00F238B8">
              <w:rPr>
                <w:rFonts w:ascii="Times New Roman" w:hAnsi="Times New Roman" w:cs="Times New Roman"/>
                <w:sz w:val="20"/>
                <w:szCs w:val="20"/>
                <w:u w:val="single"/>
              </w:rPr>
              <w:t>aikytinas tik tuo atveju, jeigu Taryba disponuoja įrodymais, kad yra technologiškai patikrintų sprendimų,</w:t>
            </w:r>
            <w:r w:rsidR="000E032A" w:rsidRPr="00F238B8">
              <w:rPr>
                <w:rFonts w:ascii="Times New Roman" w:hAnsi="Times New Roman" w:cs="Times New Roman"/>
                <w:sz w:val="20"/>
                <w:szCs w:val="20"/>
              </w:rPr>
              <w:t xml:space="preserve"> kurie garantuotų lyginamojo rodiklio su</w:t>
            </w:r>
            <w:r w:rsidRPr="00F238B8">
              <w:rPr>
                <w:rFonts w:ascii="Times New Roman" w:hAnsi="Times New Roman" w:cs="Times New Roman"/>
                <w:sz w:val="20"/>
                <w:szCs w:val="20"/>
              </w:rPr>
              <w:t xml:space="preserve">mažinimą </w:t>
            </w:r>
            <w:r w:rsidR="000E032A" w:rsidRPr="00F238B8">
              <w:rPr>
                <w:rFonts w:ascii="Times New Roman" w:hAnsi="Times New Roman" w:cs="Times New Roman"/>
                <w:sz w:val="20"/>
                <w:szCs w:val="20"/>
              </w:rPr>
              <w:t xml:space="preserve">ir nepadidintų kitų (bendrųjų) sąnaudų adekvačiomis sąlygomis. Pavyzdžiui, jeigu įrengti dažnio keitikliai ant pagrindinių reguliuojamų </w:t>
            </w:r>
            <w:r w:rsidR="00DE338F" w:rsidRPr="00F238B8">
              <w:rPr>
                <w:rFonts w:ascii="Times New Roman" w:hAnsi="Times New Roman" w:cs="Times New Roman"/>
                <w:sz w:val="20"/>
                <w:szCs w:val="20"/>
              </w:rPr>
              <w:t xml:space="preserve">šiuolaikinių </w:t>
            </w:r>
            <w:r w:rsidR="000E032A" w:rsidRPr="00F238B8">
              <w:rPr>
                <w:rFonts w:ascii="Times New Roman" w:hAnsi="Times New Roman" w:cs="Times New Roman"/>
                <w:sz w:val="20"/>
                <w:szCs w:val="20"/>
              </w:rPr>
              <w:t>elektros variklių,</w:t>
            </w:r>
            <w:r w:rsidR="00DE338F" w:rsidRPr="00F238B8">
              <w:rPr>
                <w:rFonts w:ascii="Times New Roman" w:hAnsi="Times New Roman" w:cs="Times New Roman"/>
                <w:sz w:val="20"/>
                <w:szCs w:val="20"/>
              </w:rPr>
              <w:t xml:space="preserve"> kurie </w:t>
            </w:r>
            <w:r w:rsidRPr="00F238B8">
              <w:rPr>
                <w:rFonts w:ascii="Times New Roman" w:hAnsi="Times New Roman" w:cs="Times New Roman"/>
                <w:sz w:val="20"/>
                <w:szCs w:val="20"/>
              </w:rPr>
              <w:t xml:space="preserve">suka pagrindinius siurblius ar ventiliatorius, naudojamus debito </w:t>
            </w:r>
            <w:r w:rsidR="00DE338F" w:rsidRPr="00F238B8">
              <w:rPr>
                <w:rFonts w:ascii="Times New Roman" w:hAnsi="Times New Roman" w:cs="Times New Roman"/>
                <w:sz w:val="20"/>
                <w:szCs w:val="20"/>
              </w:rPr>
              <w:t>reguliavimui,</w:t>
            </w:r>
            <w:r w:rsidR="000E032A" w:rsidRPr="00F238B8">
              <w:rPr>
                <w:rFonts w:ascii="Times New Roman" w:hAnsi="Times New Roman" w:cs="Times New Roman"/>
                <w:sz w:val="20"/>
                <w:szCs w:val="20"/>
              </w:rPr>
              <w:t xml:space="preserve"> galimybė dar</w:t>
            </w:r>
            <w:r w:rsidR="00DE338F" w:rsidRPr="00F238B8">
              <w:rPr>
                <w:rFonts w:ascii="Times New Roman" w:hAnsi="Times New Roman" w:cs="Times New Roman"/>
                <w:sz w:val="20"/>
                <w:szCs w:val="20"/>
              </w:rPr>
              <w:t xml:space="preserve"> labiau </w:t>
            </w:r>
            <w:r w:rsidR="000E032A" w:rsidRPr="00F238B8">
              <w:rPr>
                <w:rFonts w:ascii="Times New Roman" w:hAnsi="Times New Roman" w:cs="Times New Roman"/>
                <w:sz w:val="20"/>
                <w:szCs w:val="20"/>
              </w:rPr>
              <w:t xml:space="preserve"> sumažinti elektros vartojim</w:t>
            </w:r>
            <w:r w:rsidR="00DE338F" w:rsidRPr="00F238B8">
              <w:rPr>
                <w:rFonts w:ascii="Times New Roman" w:hAnsi="Times New Roman" w:cs="Times New Roman"/>
                <w:sz w:val="20"/>
                <w:szCs w:val="20"/>
              </w:rPr>
              <w:t>o</w:t>
            </w:r>
            <w:r w:rsidR="000E032A" w:rsidRPr="00F238B8">
              <w:rPr>
                <w:rFonts w:ascii="Times New Roman" w:hAnsi="Times New Roman" w:cs="Times New Roman"/>
                <w:sz w:val="20"/>
                <w:szCs w:val="20"/>
              </w:rPr>
              <w:t xml:space="preserve">  sąnaudas </w:t>
            </w:r>
            <w:r w:rsidRPr="00F238B8">
              <w:rPr>
                <w:rFonts w:ascii="Times New Roman" w:hAnsi="Times New Roman" w:cs="Times New Roman"/>
                <w:sz w:val="20"/>
                <w:szCs w:val="20"/>
              </w:rPr>
              <w:t>nereikšminga</w:t>
            </w:r>
            <w:r w:rsidR="000E032A" w:rsidRPr="00F238B8">
              <w:rPr>
                <w:rFonts w:ascii="Times New Roman" w:hAnsi="Times New Roman" w:cs="Times New Roman"/>
                <w:sz w:val="20"/>
                <w:szCs w:val="20"/>
              </w:rPr>
              <w:t>. Padidintą elektros suvartojimą lemia CŠT vamzdynų ilgis, konfigūracija, vartotojų tankis ir kiti nuo įmonių mažai priklausantys faktoriai</w:t>
            </w:r>
          </w:p>
        </w:tc>
      </w:tr>
      <w:tr w:rsidR="00AF48D7" w:rsidRPr="00D32C59" w14:paraId="350B8B1A" w14:textId="77777777" w:rsidTr="009148DA">
        <w:tc>
          <w:tcPr>
            <w:tcW w:w="233" w:type="pct"/>
          </w:tcPr>
          <w:p w14:paraId="0C47ED75" w14:textId="7F70FD5B" w:rsidR="00AF48D7" w:rsidRDefault="004A45CD" w:rsidP="007B7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623" w:type="pct"/>
          </w:tcPr>
          <w:p w14:paraId="3E6D5A60" w14:textId="7C27FF41" w:rsidR="00AF48D7" w:rsidRDefault="00AF48D7" w:rsidP="007B7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48. </w:t>
            </w:r>
            <w:r w:rsidRPr="00AF48D7">
              <w:rPr>
                <w:rFonts w:ascii="Times New Roman" w:hAnsi="Times New Roman" w:cs="Times New Roman"/>
                <w:sz w:val="20"/>
                <w:szCs w:val="20"/>
              </w:rPr>
              <w:t>Metinis darbo užmokesčio fondas skaičiuojamas šilumos gamybos, šilumos perdavimo, mažmeninio aptarnavimo ir šilumos tiekimo veiklai priskirtų bendrosios veiklos darbuotojų skaičių padauginus iš tos veiklos darbuotojų vidutinio darbo užmokesčio</w:t>
            </w:r>
            <w:r>
              <w:rPr>
                <w:rFonts w:ascii="Times New Roman" w:hAnsi="Times New Roman" w:cs="Times New Roman"/>
                <w:sz w:val="20"/>
                <w:szCs w:val="20"/>
              </w:rPr>
              <w:t>:</w:t>
            </w:r>
          </w:p>
        </w:tc>
        <w:tc>
          <w:tcPr>
            <w:tcW w:w="1572" w:type="pct"/>
          </w:tcPr>
          <w:p w14:paraId="0430E98C" w14:textId="0D2BF966" w:rsidR="00AF48D7" w:rsidRDefault="00E03957" w:rsidP="007B7324">
            <w:pPr>
              <w:spacing w:after="0" w:line="240" w:lineRule="auto"/>
              <w:jc w:val="both"/>
              <w:rPr>
                <w:rFonts w:ascii="Times New Roman" w:hAnsi="Times New Roman" w:cs="Times New Roman"/>
                <w:sz w:val="20"/>
                <w:szCs w:val="20"/>
              </w:rPr>
            </w:pPr>
            <w:r w:rsidRPr="00E03957">
              <w:rPr>
                <w:rFonts w:ascii="Times New Roman" w:hAnsi="Times New Roman" w:cs="Times New Roman"/>
                <w:sz w:val="20"/>
                <w:szCs w:val="20"/>
              </w:rPr>
              <w:t>48. Metinis darbo užmokesčio fondas skaičiuojamas šilumos gamybos, šilumos perdavimo, mažmeninio aptarnavimo ir šilumos tiekimo veiklai priskirtų bendrosios veiklos darbuotojų skaičių padauginus iš tos veiklos darbuotojų vidutinio darbo užmokesčio</w:t>
            </w:r>
            <w:r>
              <w:rPr>
                <w:rFonts w:ascii="Times New Roman" w:hAnsi="Times New Roman" w:cs="Times New Roman"/>
                <w:sz w:val="20"/>
                <w:szCs w:val="20"/>
              </w:rPr>
              <w:t xml:space="preserve">, </w:t>
            </w:r>
            <w:r w:rsidRPr="00F238B8">
              <w:rPr>
                <w:rFonts w:ascii="Times New Roman" w:hAnsi="Times New Roman" w:cs="Times New Roman"/>
                <w:b/>
                <w:bCs/>
                <w:sz w:val="20"/>
                <w:szCs w:val="20"/>
              </w:rPr>
              <w:t>įvertinant ir kompensacijas dėl darbuotojų atleidimo ar skatinimo</w:t>
            </w:r>
            <w:r w:rsidR="00F238B8" w:rsidRPr="00F238B8">
              <w:rPr>
                <w:rFonts w:ascii="Times New Roman" w:hAnsi="Times New Roman" w:cs="Times New Roman"/>
                <w:b/>
                <w:bCs/>
                <w:sz w:val="20"/>
                <w:szCs w:val="20"/>
              </w:rPr>
              <w:t>, pagal LR darbo kodeksą</w:t>
            </w:r>
            <w:r w:rsidRPr="00F238B8">
              <w:rPr>
                <w:rFonts w:ascii="Times New Roman" w:hAnsi="Times New Roman" w:cs="Times New Roman"/>
                <w:b/>
                <w:bCs/>
                <w:sz w:val="20"/>
                <w:szCs w:val="20"/>
              </w:rPr>
              <w:t>.</w:t>
            </w:r>
            <w:r>
              <w:rPr>
                <w:rFonts w:ascii="Times New Roman" w:hAnsi="Times New Roman" w:cs="Times New Roman"/>
                <w:sz w:val="20"/>
                <w:szCs w:val="20"/>
              </w:rPr>
              <w:t xml:space="preserve"> </w:t>
            </w:r>
          </w:p>
        </w:tc>
        <w:tc>
          <w:tcPr>
            <w:tcW w:w="1572" w:type="pct"/>
          </w:tcPr>
          <w:p w14:paraId="637C5D13" w14:textId="4B4A8E35" w:rsidR="00AF48D7" w:rsidRPr="00F238B8" w:rsidRDefault="00AF48D7" w:rsidP="007B7324">
            <w:pPr>
              <w:spacing w:after="0" w:line="240" w:lineRule="auto"/>
              <w:jc w:val="both"/>
              <w:rPr>
                <w:rFonts w:ascii="Times New Roman" w:hAnsi="Times New Roman" w:cs="Times New Roman"/>
                <w:sz w:val="20"/>
                <w:szCs w:val="20"/>
              </w:rPr>
            </w:pPr>
            <w:r w:rsidRPr="00F238B8">
              <w:rPr>
                <w:rFonts w:ascii="Times New Roman" w:hAnsi="Times New Roman" w:cs="Times New Roman"/>
                <w:sz w:val="20"/>
                <w:szCs w:val="20"/>
              </w:rPr>
              <w:t xml:space="preserve">Metinis darbo užmokesčio fondas turėtų įvertinti ir kompensacijas darbuotojų atleidimo </w:t>
            </w:r>
            <w:r w:rsidR="00EB1BB4" w:rsidRPr="00F238B8">
              <w:rPr>
                <w:rFonts w:ascii="Times New Roman" w:hAnsi="Times New Roman" w:cs="Times New Roman"/>
                <w:sz w:val="20"/>
                <w:szCs w:val="20"/>
              </w:rPr>
              <w:t xml:space="preserve">ar skatinimo </w:t>
            </w:r>
            <w:r w:rsidRPr="00F238B8">
              <w:rPr>
                <w:rFonts w:ascii="Times New Roman" w:hAnsi="Times New Roman" w:cs="Times New Roman"/>
                <w:sz w:val="20"/>
                <w:szCs w:val="20"/>
              </w:rPr>
              <w:t>atveju, kiek tai neprieštarauja LR darbo kodeksui. Jei darbuotojus vienija profesinė sąjunga ir yra sutarta, kad nutrūkus darbo santykiams darbdavys išmoka X mėnesių vidutinio darbo užmokesčio kompensaciją (pvz., 6 mėnesių), šios sąnaudos turėtų būti įvertintos darbo užmokesčio fonde.</w:t>
            </w:r>
          </w:p>
        </w:tc>
      </w:tr>
      <w:tr w:rsidR="000E032A" w:rsidRPr="00D32C59" w14:paraId="1EB3ADC3" w14:textId="77777777" w:rsidTr="009148DA">
        <w:tc>
          <w:tcPr>
            <w:tcW w:w="233" w:type="pct"/>
          </w:tcPr>
          <w:p w14:paraId="787D55E8" w14:textId="22C996DE" w:rsidR="000E032A" w:rsidRPr="00D32C59" w:rsidRDefault="004A45CD" w:rsidP="007B7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623" w:type="pct"/>
          </w:tcPr>
          <w:p w14:paraId="7B55AA47" w14:textId="4AB73A15" w:rsidR="000E032A" w:rsidRPr="00D32C59" w:rsidRDefault="00EA0EBB" w:rsidP="007B7324">
            <w:pPr>
              <w:spacing w:after="0" w:line="240" w:lineRule="auto"/>
              <w:jc w:val="both"/>
              <w:rPr>
                <w:rFonts w:ascii="Times New Roman" w:hAnsi="Times New Roman" w:cs="Times New Roman"/>
                <w:sz w:val="20"/>
                <w:szCs w:val="20"/>
              </w:rPr>
            </w:pPr>
            <w:r w:rsidRPr="00EA0EBB">
              <w:rPr>
                <w:rFonts w:ascii="Times New Roman" w:hAnsi="Times New Roman" w:cs="Times New Roman"/>
                <w:sz w:val="20"/>
                <w:szCs w:val="20"/>
              </w:rPr>
              <w:t>52.2.2. jei atskiros sąnaudų grupės apimtis viršija sąnaudų sumą, apskaičiuotą pagal lyginamuosius rodiklius, vertinamos atitinkamos sąnaudų grupės sąnaudos pagal verslo vienetus. Pastoviųjų sąnaudų apimtis atitinkamame verslo vienete koreguojama pagal Metodikos 29.4 papunktį.</w:t>
            </w:r>
          </w:p>
        </w:tc>
        <w:tc>
          <w:tcPr>
            <w:tcW w:w="1572" w:type="pct"/>
          </w:tcPr>
          <w:p w14:paraId="661B13E4" w14:textId="41058F9D" w:rsidR="000E032A" w:rsidRDefault="00EA0EBB" w:rsidP="007B7324">
            <w:pPr>
              <w:spacing w:after="0" w:line="240" w:lineRule="auto"/>
              <w:jc w:val="both"/>
              <w:rPr>
                <w:rFonts w:ascii="Times New Roman" w:hAnsi="Times New Roman" w:cs="Times New Roman"/>
                <w:b/>
                <w:bCs/>
                <w:sz w:val="20"/>
                <w:szCs w:val="20"/>
              </w:rPr>
            </w:pPr>
            <w:r w:rsidRPr="00EA0EBB">
              <w:rPr>
                <w:rFonts w:ascii="Times New Roman" w:hAnsi="Times New Roman" w:cs="Times New Roman"/>
                <w:sz w:val="20"/>
                <w:szCs w:val="20"/>
              </w:rPr>
              <w:t>52.2.2. jei atskiros sąnaudų grupės apimtis viršija sąnaudų sumą, apskaičiuotą pagal lyginamuosius rodiklius, vertinamos atitinkamos sąnaudų grupės sąnaudos pagal verslo vienetus. Pastoviųjų sąnaudų apimtis atitinkamame verslo vienete koreguojama pagal Metodikos 29.4 papunktį</w:t>
            </w:r>
            <w:r>
              <w:rPr>
                <w:rFonts w:ascii="Times New Roman" w:hAnsi="Times New Roman" w:cs="Times New Roman"/>
                <w:sz w:val="20"/>
                <w:szCs w:val="20"/>
              </w:rPr>
              <w:t>,</w:t>
            </w:r>
            <w:r>
              <w:t xml:space="preserve"> </w:t>
            </w:r>
            <w:r w:rsidRPr="00EB1BB4">
              <w:rPr>
                <w:rFonts w:ascii="Times New Roman" w:hAnsi="Times New Roman" w:cs="Times New Roman"/>
                <w:b/>
                <w:bCs/>
                <w:sz w:val="20"/>
                <w:szCs w:val="20"/>
              </w:rPr>
              <w:t>jeigu viršijimas ne didesnis kaip 5 procentai nuo sąnaudų sumos, apskaičiuotos pagal lyginamuosius rodiklius</w:t>
            </w:r>
            <w:r w:rsidR="000F2B45" w:rsidRPr="00EB1BB4">
              <w:rPr>
                <w:rFonts w:ascii="Times New Roman" w:hAnsi="Times New Roman" w:cs="Times New Roman"/>
                <w:b/>
                <w:bCs/>
                <w:sz w:val="20"/>
                <w:szCs w:val="20"/>
              </w:rPr>
              <w:t>;</w:t>
            </w:r>
          </w:p>
          <w:p w14:paraId="20724F85" w14:textId="263D15EB" w:rsidR="00EA0EBB" w:rsidRPr="00EA0EBB" w:rsidRDefault="00EA0EBB" w:rsidP="007B7324">
            <w:pPr>
              <w:spacing w:after="0" w:line="240" w:lineRule="auto"/>
              <w:jc w:val="both"/>
              <w:rPr>
                <w:rFonts w:ascii="Times New Roman" w:hAnsi="Times New Roman" w:cs="Times New Roman"/>
                <w:b/>
                <w:bCs/>
                <w:sz w:val="20"/>
                <w:szCs w:val="20"/>
              </w:rPr>
            </w:pPr>
            <w:r w:rsidRPr="00EA0EBB">
              <w:rPr>
                <w:rFonts w:ascii="Times New Roman" w:hAnsi="Times New Roman" w:cs="Times New Roman"/>
                <w:b/>
                <w:bCs/>
                <w:sz w:val="20"/>
                <w:szCs w:val="20"/>
              </w:rPr>
              <w:t xml:space="preserve">52.2.3. jeigu viršijimas didesnis kaip 5 procentai nuo sąnaudų sumos, apskaičiuotos pagal lyginamuosius rodiklius, priežastingumo patikrinimui lyginamos atitinkamos grupės įmonių objektyvios </w:t>
            </w:r>
            <w:r w:rsidRPr="00EA0EBB">
              <w:rPr>
                <w:rFonts w:ascii="Times New Roman" w:hAnsi="Times New Roman" w:cs="Times New Roman"/>
                <w:b/>
                <w:bCs/>
                <w:sz w:val="20"/>
                <w:szCs w:val="20"/>
              </w:rPr>
              <w:lastRenderedPageBreak/>
              <w:t>charakteristikos, turinčios įtakos pastoviųjų sąnaudų dydžiui: CŠT sistemų skaičius ir dydis, eksploatuojamų katilinių skaičius, vartotojų tankis CŠT sistemoje, sąlyginiais vamzdynais perduodamos šilumos kiekis ir kitos nuo šilumos tiekėjo nepriklausančios ypatybės. Nenustačius išsiskiriančių objektyvių veiklos ypatumų, pastoviųjų sąnaudų apimtis atitinkamame verslo vienete koreguojama pagal Metodikos 29.4 papunktį.</w:t>
            </w:r>
          </w:p>
        </w:tc>
        <w:tc>
          <w:tcPr>
            <w:tcW w:w="1572" w:type="pct"/>
          </w:tcPr>
          <w:p w14:paraId="5C61602E" w14:textId="58CFCFFF" w:rsidR="000E032A" w:rsidRPr="00D32C59" w:rsidRDefault="00EA0EBB" w:rsidP="007B7324">
            <w:pPr>
              <w:spacing w:after="0" w:line="240" w:lineRule="auto"/>
              <w:jc w:val="both"/>
              <w:rPr>
                <w:rFonts w:ascii="Times New Roman" w:hAnsi="Times New Roman" w:cs="Times New Roman"/>
                <w:sz w:val="20"/>
                <w:szCs w:val="20"/>
              </w:rPr>
            </w:pPr>
            <w:r w:rsidRPr="00F238B8">
              <w:rPr>
                <w:rFonts w:ascii="Times New Roman" w:hAnsi="Times New Roman" w:cs="Times New Roman"/>
                <w:sz w:val="20"/>
                <w:szCs w:val="20"/>
                <w:u w:val="single"/>
              </w:rPr>
              <w:lastRenderedPageBreak/>
              <w:t>Jeigu atskiras faktinis sąnaudų rodiklis reikšmingai skiriasi nuo  lyginamojo, dažniausiai tam yra objektyvios priežastys, kurias būtina patikrinti</w:t>
            </w:r>
            <w:r w:rsidRPr="00EA0EBB">
              <w:rPr>
                <w:rFonts w:ascii="Times New Roman" w:hAnsi="Times New Roman" w:cs="Times New Roman"/>
                <w:sz w:val="20"/>
                <w:szCs w:val="20"/>
              </w:rPr>
              <w:t xml:space="preserve">. Siūlytina nustatyti paklaidos ribą (pavyzdžiui, 5 procentus nuo lyginamojo rodiklio) ir jeigu ši riba viršijama – atlikti CŠT sistemos objektyvių charakteristikų sulyginimą ir atitinkamų sąnaudų </w:t>
            </w:r>
            <w:r w:rsidRPr="00F238B8">
              <w:rPr>
                <w:rFonts w:ascii="Times New Roman" w:hAnsi="Times New Roman" w:cs="Times New Roman"/>
                <w:sz w:val="20"/>
                <w:szCs w:val="20"/>
                <w:u w:val="single"/>
              </w:rPr>
              <w:t>lygio</w:t>
            </w:r>
            <w:r w:rsidRPr="00EA0EBB">
              <w:rPr>
                <w:rFonts w:ascii="Times New Roman" w:hAnsi="Times New Roman" w:cs="Times New Roman"/>
                <w:sz w:val="20"/>
                <w:szCs w:val="20"/>
              </w:rPr>
              <w:t xml:space="preserve"> įvertinimą.  </w:t>
            </w:r>
          </w:p>
        </w:tc>
      </w:tr>
      <w:tr w:rsidR="000E032A" w:rsidRPr="00D32C59" w14:paraId="60137BE7" w14:textId="77777777" w:rsidTr="009148DA">
        <w:tc>
          <w:tcPr>
            <w:tcW w:w="233" w:type="pct"/>
          </w:tcPr>
          <w:p w14:paraId="2C02578C" w14:textId="5FD52A8A" w:rsidR="000E032A" w:rsidRPr="00D32C59" w:rsidRDefault="004A45CD" w:rsidP="007B7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23" w:type="pct"/>
          </w:tcPr>
          <w:p w14:paraId="70E5735E" w14:textId="16E3C609" w:rsidR="000E032A" w:rsidRPr="00D32C59" w:rsidRDefault="00237467" w:rsidP="007B7324">
            <w:pPr>
              <w:spacing w:after="0" w:line="240" w:lineRule="auto"/>
              <w:jc w:val="both"/>
              <w:rPr>
                <w:rFonts w:ascii="Times New Roman" w:hAnsi="Times New Roman" w:cs="Times New Roman"/>
                <w:sz w:val="20"/>
                <w:szCs w:val="20"/>
              </w:rPr>
            </w:pPr>
            <w:r w:rsidRPr="00237467">
              <w:rPr>
                <w:rFonts w:ascii="Times New Roman" w:hAnsi="Times New Roman" w:cs="Times New Roman"/>
                <w:sz w:val="20"/>
                <w:szCs w:val="20"/>
              </w:rPr>
              <w:t>67.2.1. Ūkio subjekto naudojamo kuro struktūros pokyčius dėl faktiškai atliktų investicinių projektų. Šiuo atveju koreguojamos šilumos bazinės kainos skaičiavimo metu nustatytos lyginamosios kuro, elektros energijos, vandens technologinėms reikmėms, ATL įsigijimo ir kitos kintamosios sąnaudos (Metodikos 67.4 papunktis) šilumos vienetui gaminti ir koreguojama šilumos kainos pastovioji dedamoji atsižvelgiant į Metodikos 66.3 ir 66.4 papunkčius;</w:t>
            </w:r>
          </w:p>
        </w:tc>
        <w:tc>
          <w:tcPr>
            <w:tcW w:w="1572" w:type="pct"/>
          </w:tcPr>
          <w:p w14:paraId="2D87D15D" w14:textId="74BFF344" w:rsidR="000E032A" w:rsidRPr="00D32C59" w:rsidRDefault="00237467" w:rsidP="007B7324">
            <w:pPr>
              <w:spacing w:after="0" w:line="240" w:lineRule="auto"/>
              <w:jc w:val="both"/>
              <w:rPr>
                <w:rFonts w:ascii="Times New Roman" w:hAnsi="Times New Roman" w:cs="Times New Roman"/>
                <w:sz w:val="20"/>
                <w:szCs w:val="20"/>
              </w:rPr>
            </w:pPr>
            <w:r w:rsidRPr="00237467">
              <w:rPr>
                <w:rFonts w:ascii="Times New Roman" w:hAnsi="Times New Roman" w:cs="Times New Roman"/>
                <w:sz w:val="20"/>
                <w:szCs w:val="20"/>
              </w:rPr>
              <w:t xml:space="preserve">67.2.1. Ūkio subjekto naudojamo kuro struktūros pokyčius dėl faktiškai atliktų investicinių projektų. Šiuo atveju </w:t>
            </w:r>
            <w:r w:rsidRPr="00646DF0">
              <w:rPr>
                <w:rFonts w:ascii="Times New Roman" w:hAnsi="Times New Roman" w:cs="Times New Roman"/>
                <w:strike/>
                <w:sz w:val="20"/>
                <w:szCs w:val="20"/>
              </w:rPr>
              <w:t>koreguojamos šilumos bazinės kainos skaičiavimo metu nustatytos lyginamosios kuro, elektros energijos, vandens technologinėms reikmėms, ATL įsigijimo ir kitos kintamosios sąnaudos (Metodikos 67.4 papunktis) šilumos vienetui gaminti ir</w:t>
            </w:r>
            <w:r w:rsidRPr="00237467">
              <w:rPr>
                <w:rFonts w:ascii="Times New Roman" w:hAnsi="Times New Roman" w:cs="Times New Roman"/>
                <w:sz w:val="20"/>
                <w:szCs w:val="20"/>
              </w:rPr>
              <w:t xml:space="preserve"> koreguojama šilumos kainos pastovioji dedamoji atsižvelgiant į Metodikos 66.3 ir 66.4 papunkčius;</w:t>
            </w:r>
          </w:p>
        </w:tc>
        <w:tc>
          <w:tcPr>
            <w:tcW w:w="1572" w:type="pct"/>
          </w:tcPr>
          <w:p w14:paraId="580B4AD7" w14:textId="77777777" w:rsidR="00F2327C" w:rsidRPr="00F2327C" w:rsidRDefault="00F2327C" w:rsidP="00F2327C">
            <w:pPr>
              <w:spacing w:after="0" w:line="240" w:lineRule="auto"/>
              <w:jc w:val="both"/>
              <w:rPr>
                <w:rFonts w:ascii="Times New Roman" w:hAnsi="Times New Roman" w:cs="Times New Roman"/>
                <w:sz w:val="20"/>
                <w:szCs w:val="20"/>
              </w:rPr>
            </w:pPr>
            <w:r w:rsidRPr="00F2327C">
              <w:rPr>
                <w:rFonts w:ascii="Times New Roman" w:hAnsi="Times New Roman" w:cs="Times New Roman"/>
                <w:sz w:val="20"/>
                <w:szCs w:val="20"/>
              </w:rPr>
              <w:t xml:space="preserve">CŠT sektoriuje pradėjus dideliu mastu naudoti pigų biokurą naujos </w:t>
            </w:r>
            <w:r w:rsidRPr="00F238B8">
              <w:rPr>
                <w:rFonts w:ascii="Times New Roman" w:hAnsi="Times New Roman" w:cs="Times New Roman"/>
                <w:sz w:val="20"/>
                <w:szCs w:val="20"/>
              </w:rPr>
              <w:t xml:space="preserve">investicijos neduoda reikšmingo ekonominio efekto. </w:t>
            </w:r>
            <w:r w:rsidRPr="00F238B8">
              <w:rPr>
                <w:rFonts w:ascii="Times New Roman" w:hAnsi="Times New Roman" w:cs="Times New Roman"/>
                <w:sz w:val="20"/>
                <w:szCs w:val="20"/>
                <w:u w:val="single"/>
              </w:rPr>
              <w:t>Siekiant padidinti energetinio ir ekonominio efektyvinimo priemonių atsiperkamumą  ir jų diegimo motyvaciją, siūloma palikti įmonių dispozicijoje dėl investicijų gautą ekonominį efektą vieno reguliacinio periodo laikotarpiui</w:t>
            </w:r>
            <w:r w:rsidRPr="00F238B8">
              <w:rPr>
                <w:rFonts w:ascii="Times New Roman" w:hAnsi="Times New Roman" w:cs="Times New Roman"/>
                <w:sz w:val="20"/>
                <w:szCs w:val="20"/>
              </w:rPr>
              <w:t>.</w:t>
            </w:r>
            <w:r w:rsidRPr="00F2327C">
              <w:rPr>
                <w:rFonts w:ascii="Times New Roman" w:hAnsi="Times New Roman" w:cs="Times New Roman"/>
                <w:sz w:val="20"/>
                <w:szCs w:val="20"/>
              </w:rPr>
              <w:t xml:space="preserve"> Jam pasibaigus šilumos vartotojai naudosis efektyvesne šilumos tiekimo paslauga. Taip derinami šilumos tiekėjų ir  vartotojų interesai bei supaprastėja sąnaudų apskaita. </w:t>
            </w:r>
          </w:p>
          <w:p w14:paraId="4E77AC22" w14:textId="714D873A" w:rsidR="000E032A" w:rsidRPr="00D32C59" w:rsidRDefault="00F2327C" w:rsidP="00F2327C">
            <w:pPr>
              <w:spacing w:after="0" w:line="240" w:lineRule="auto"/>
              <w:jc w:val="both"/>
              <w:rPr>
                <w:rFonts w:ascii="Times New Roman" w:hAnsi="Times New Roman" w:cs="Times New Roman"/>
                <w:sz w:val="20"/>
                <w:szCs w:val="20"/>
              </w:rPr>
            </w:pPr>
            <w:r w:rsidRPr="00F2327C">
              <w:rPr>
                <w:rFonts w:ascii="Times New Roman" w:hAnsi="Times New Roman" w:cs="Times New Roman"/>
                <w:sz w:val="20"/>
                <w:szCs w:val="20"/>
              </w:rPr>
              <w:t xml:space="preserve">Siūlytina nekoreguoti kintamąsias sąnaudas lemiančius technologinius rodiklius, pasikeitusius dėl padarytų investicijų pirmojo reguliacinio periodo laikotarpyje. Pagerinti rodikliai būtų naudojami nustatant </w:t>
            </w:r>
            <w:r>
              <w:rPr>
                <w:rFonts w:ascii="Times New Roman" w:hAnsi="Times New Roman" w:cs="Times New Roman"/>
                <w:sz w:val="20"/>
                <w:szCs w:val="20"/>
              </w:rPr>
              <w:t xml:space="preserve">vėliau </w:t>
            </w:r>
            <w:r w:rsidR="00F238B8">
              <w:rPr>
                <w:rFonts w:ascii="Times New Roman" w:hAnsi="Times New Roman" w:cs="Times New Roman"/>
                <w:sz w:val="20"/>
                <w:szCs w:val="20"/>
              </w:rPr>
              <w:t xml:space="preserve">sekančią </w:t>
            </w:r>
            <w:r>
              <w:rPr>
                <w:rFonts w:ascii="Times New Roman" w:hAnsi="Times New Roman" w:cs="Times New Roman"/>
                <w:sz w:val="20"/>
                <w:szCs w:val="20"/>
              </w:rPr>
              <w:t>bazinę kainą.</w:t>
            </w:r>
            <w:r w:rsidRPr="00F2327C">
              <w:rPr>
                <w:rFonts w:ascii="Times New Roman" w:hAnsi="Times New Roman" w:cs="Times New Roman"/>
                <w:sz w:val="20"/>
                <w:szCs w:val="20"/>
              </w:rPr>
              <w:t xml:space="preserve">      </w:t>
            </w:r>
          </w:p>
        </w:tc>
      </w:tr>
      <w:tr w:rsidR="000E032A" w:rsidRPr="00D32C59" w14:paraId="0D02659B" w14:textId="77777777" w:rsidTr="009148DA">
        <w:tc>
          <w:tcPr>
            <w:tcW w:w="233" w:type="pct"/>
          </w:tcPr>
          <w:p w14:paraId="2BACC840" w14:textId="679BA6AA" w:rsidR="000E032A" w:rsidRPr="00D32C59" w:rsidRDefault="004A45CD" w:rsidP="007B7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623" w:type="pct"/>
          </w:tcPr>
          <w:p w14:paraId="1E8AF74C" w14:textId="21582BF6" w:rsidR="000E032A" w:rsidRPr="00D32C59" w:rsidRDefault="000D791B" w:rsidP="007B7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77. </w:t>
            </w:r>
            <w:r w:rsidRPr="000D791B">
              <w:rPr>
                <w:rFonts w:ascii="Times New Roman" w:hAnsi="Times New Roman" w:cs="Times New Roman"/>
                <w:sz w:val="20"/>
                <w:szCs w:val="20"/>
              </w:rPr>
              <w:t>Kai Metodikos 71–75 punktuose numatyta tvarka apskaičiuotų Ūkio subjekto papildomai gautų pajamų grąžinimas išdėstomas per ilgesnį nei 12 mėnesių laikotarpį, įvertinama pinigų kaina:</w:t>
            </w:r>
          </w:p>
        </w:tc>
        <w:tc>
          <w:tcPr>
            <w:tcW w:w="1572" w:type="pct"/>
          </w:tcPr>
          <w:p w14:paraId="543DF35A" w14:textId="1B86F1E4" w:rsidR="000E032A" w:rsidRPr="00D32C59" w:rsidRDefault="000D791B" w:rsidP="007B73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77. </w:t>
            </w:r>
            <w:r w:rsidRPr="000D791B">
              <w:rPr>
                <w:rFonts w:ascii="Times New Roman" w:hAnsi="Times New Roman" w:cs="Times New Roman"/>
                <w:sz w:val="20"/>
                <w:szCs w:val="20"/>
              </w:rPr>
              <w:t xml:space="preserve">Kai Metodikos 71–75 punktuose numatyta tvarka apskaičiuotų Ūkio subjekto papildomai </w:t>
            </w:r>
            <w:r w:rsidRPr="000D791B">
              <w:rPr>
                <w:rFonts w:ascii="Times New Roman" w:hAnsi="Times New Roman" w:cs="Times New Roman"/>
                <w:b/>
                <w:bCs/>
                <w:sz w:val="20"/>
                <w:szCs w:val="20"/>
              </w:rPr>
              <w:t>(ne)</w:t>
            </w:r>
            <w:r w:rsidRPr="000D791B">
              <w:rPr>
                <w:rFonts w:ascii="Times New Roman" w:hAnsi="Times New Roman" w:cs="Times New Roman"/>
                <w:sz w:val="20"/>
                <w:szCs w:val="20"/>
              </w:rPr>
              <w:t xml:space="preserve">gautų pajamų </w:t>
            </w:r>
            <w:r w:rsidRPr="00AE1736">
              <w:rPr>
                <w:rFonts w:ascii="Times New Roman" w:hAnsi="Times New Roman" w:cs="Times New Roman"/>
                <w:b/>
                <w:bCs/>
                <w:sz w:val="20"/>
                <w:szCs w:val="20"/>
              </w:rPr>
              <w:t>(susi</w:t>
            </w:r>
            <w:r w:rsidR="00AE1736" w:rsidRPr="00AE1736">
              <w:rPr>
                <w:rFonts w:ascii="Times New Roman" w:hAnsi="Times New Roman" w:cs="Times New Roman"/>
                <w:b/>
                <w:bCs/>
                <w:sz w:val="20"/>
                <w:szCs w:val="20"/>
              </w:rPr>
              <w:t>)</w:t>
            </w:r>
            <w:r w:rsidRPr="000D791B">
              <w:rPr>
                <w:rFonts w:ascii="Times New Roman" w:hAnsi="Times New Roman" w:cs="Times New Roman"/>
                <w:sz w:val="20"/>
                <w:szCs w:val="20"/>
              </w:rPr>
              <w:t>grąžinimas išdėstomas per ilgesnį nei 12 mėnesių laikotarpį, įvertinama pinigų kaina:</w:t>
            </w:r>
          </w:p>
        </w:tc>
        <w:tc>
          <w:tcPr>
            <w:tcW w:w="1572" w:type="pct"/>
          </w:tcPr>
          <w:p w14:paraId="67ADAE3E" w14:textId="790E2FA3" w:rsidR="000E032A" w:rsidRPr="00D32C59" w:rsidRDefault="00AE1736" w:rsidP="007B7324">
            <w:pPr>
              <w:spacing w:after="0" w:line="240" w:lineRule="auto"/>
              <w:jc w:val="both"/>
              <w:rPr>
                <w:rFonts w:ascii="Times New Roman" w:hAnsi="Times New Roman" w:cs="Times New Roman"/>
                <w:sz w:val="20"/>
                <w:szCs w:val="20"/>
              </w:rPr>
            </w:pPr>
            <w:r w:rsidRPr="00F238B8">
              <w:rPr>
                <w:rFonts w:ascii="Times New Roman" w:hAnsi="Times New Roman" w:cs="Times New Roman"/>
                <w:sz w:val="20"/>
                <w:szCs w:val="20"/>
              </w:rPr>
              <w:t xml:space="preserve">Jei papildomai gautų pajamų grąžinimui vartotojams įvertinama pinigų kaina (išmokamos palūkanos, kaip suprantame, nėra įtrauktos į pagrįstas sąnaudas), tai </w:t>
            </w:r>
            <w:r w:rsidR="00F238B8" w:rsidRPr="00F238B8">
              <w:rPr>
                <w:rFonts w:ascii="Times New Roman" w:hAnsi="Times New Roman" w:cs="Times New Roman"/>
                <w:sz w:val="20"/>
                <w:szCs w:val="20"/>
                <w:u w:val="single"/>
              </w:rPr>
              <w:t xml:space="preserve">turėtų galioti ir </w:t>
            </w:r>
            <w:r w:rsidRPr="00F238B8">
              <w:rPr>
                <w:rFonts w:ascii="Times New Roman" w:hAnsi="Times New Roman" w:cs="Times New Roman"/>
                <w:sz w:val="20"/>
                <w:szCs w:val="20"/>
                <w:u w:val="single"/>
              </w:rPr>
              <w:t>atvirkštinis v</w:t>
            </w:r>
            <w:r w:rsidR="00F238B8">
              <w:rPr>
                <w:rFonts w:ascii="Times New Roman" w:hAnsi="Times New Roman" w:cs="Times New Roman"/>
                <w:sz w:val="20"/>
                <w:szCs w:val="20"/>
                <w:u w:val="single"/>
              </w:rPr>
              <w:t>eiksmas</w:t>
            </w:r>
            <w:r w:rsidRPr="00F238B8">
              <w:rPr>
                <w:rFonts w:ascii="Times New Roman" w:hAnsi="Times New Roman" w:cs="Times New Roman"/>
                <w:sz w:val="20"/>
                <w:szCs w:val="20"/>
              </w:rPr>
              <w:t xml:space="preserve"> – jei ūkio subjektas negavo numatytos pajamų sumos</w:t>
            </w:r>
            <w:r w:rsidR="00F238B8">
              <w:rPr>
                <w:rFonts w:ascii="Times New Roman" w:hAnsi="Times New Roman" w:cs="Times New Roman"/>
                <w:sz w:val="20"/>
                <w:szCs w:val="20"/>
              </w:rPr>
              <w:t xml:space="preserve"> per 12 mėnesių laikotarpį</w:t>
            </w:r>
            <w:r w:rsidRPr="00F238B8">
              <w:rPr>
                <w:rFonts w:ascii="Times New Roman" w:hAnsi="Times New Roman" w:cs="Times New Roman"/>
                <w:sz w:val="20"/>
                <w:szCs w:val="20"/>
              </w:rPr>
              <w:t>,</w:t>
            </w:r>
            <w:r w:rsidR="00F238B8">
              <w:rPr>
                <w:rFonts w:ascii="Times New Roman" w:hAnsi="Times New Roman" w:cs="Times New Roman"/>
                <w:sz w:val="20"/>
                <w:szCs w:val="20"/>
              </w:rPr>
              <w:t xml:space="preserve"> </w:t>
            </w:r>
            <w:r w:rsidRPr="00F238B8">
              <w:rPr>
                <w:rFonts w:ascii="Times New Roman" w:hAnsi="Times New Roman" w:cs="Times New Roman"/>
                <w:sz w:val="20"/>
                <w:szCs w:val="20"/>
              </w:rPr>
              <w:t xml:space="preserve">jam </w:t>
            </w:r>
            <w:r w:rsidR="00F238B8">
              <w:rPr>
                <w:rFonts w:ascii="Times New Roman" w:hAnsi="Times New Roman" w:cs="Times New Roman"/>
                <w:sz w:val="20"/>
                <w:szCs w:val="20"/>
              </w:rPr>
              <w:t xml:space="preserve">sugražinimas </w:t>
            </w:r>
            <w:r w:rsidRPr="00F238B8">
              <w:rPr>
                <w:rFonts w:ascii="Times New Roman" w:hAnsi="Times New Roman" w:cs="Times New Roman"/>
                <w:sz w:val="20"/>
                <w:szCs w:val="20"/>
              </w:rPr>
              <w:t>turi būti numatyta</w:t>
            </w:r>
            <w:r w:rsidR="00F238B8">
              <w:rPr>
                <w:rFonts w:ascii="Times New Roman" w:hAnsi="Times New Roman" w:cs="Times New Roman"/>
                <w:sz w:val="20"/>
                <w:szCs w:val="20"/>
              </w:rPr>
              <w:t>s</w:t>
            </w:r>
            <w:r w:rsidRPr="00F238B8">
              <w:rPr>
                <w:rFonts w:ascii="Times New Roman" w:hAnsi="Times New Roman" w:cs="Times New Roman"/>
                <w:sz w:val="20"/>
                <w:szCs w:val="20"/>
              </w:rPr>
              <w:t xml:space="preserve"> taip pat įvertinus pinigų kainą (palūkanas)</w:t>
            </w:r>
            <w:r w:rsidR="00EB1BB4" w:rsidRPr="00F238B8">
              <w:rPr>
                <w:rFonts w:ascii="Times New Roman" w:hAnsi="Times New Roman" w:cs="Times New Roman"/>
                <w:sz w:val="20"/>
                <w:szCs w:val="20"/>
              </w:rPr>
              <w:t>.</w:t>
            </w:r>
          </w:p>
        </w:tc>
      </w:tr>
    </w:tbl>
    <w:p w14:paraId="6C7319B0" w14:textId="35EDCE01" w:rsidR="00D32C59" w:rsidRPr="00E85E32" w:rsidRDefault="00D32C59" w:rsidP="00AD3F72">
      <w:pPr>
        <w:spacing w:line="240" w:lineRule="auto"/>
        <w:jc w:val="both"/>
        <w:rPr>
          <w:rFonts w:ascii="Times New Roman" w:hAnsi="Times New Roman" w:cs="Times New Roman"/>
          <w:sz w:val="24"/>
          <w:szCs w:val="24"/>
        </w:rPr>
      </w:pPr>
    </w:p>
    <w:sectPr w:rsidR="00D32C59" w:rsidRPr="00E85E32" w:rsidSect="00AD3F72">
      <w:pgSz w:w="16838" w:h="11906" w:orient="landscape"/>
      <w:pgMar w:top="851" w:right="851" w:bottom="851"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E27AE1"/>
    <w:multiLevelType w:val="multilevel"/>
    <w:tmpl w:val="89AC3354"/>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ascii="Times New Roman" w:hAnsi="Times New Roman" w:cs="Times New Roman" w:hint="default"/>
        <w:b w:val="0"/>
        <w:bCs w:val="0"/>
        <w:sz w:val="24"/>
        <w:szCs w:val="24"/>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2"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851"/>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04813"/>
    <w:rsid w:val="000236F5"/>
    <w:rsid w:val="0002491E"/>
    <w:rsid w:val="00033889"/>
    <w:rsid w:val="0005510C"/>
    <w:rsid w:val="00061A02"/>
    <w:rsid w:val="000661F9"/>
    <w:rsid w:val="000734E5"/>
    <w:rsid w:val="00073FB1"/>
    <w:rsid w:val="000D791B"/>
    <w:rsid w:val="000E032A"/>
    <w:rsid w:val="000F2B45"/>
    <w:rsid w:val="001528B1"/>
    <w:rsid w:val="001E2A47"/>
    <w:rsid w:val="00237467"/>
    <w:rsid w:val="00260E6D"/>
    <w:rsid w:val="003428DA"/>
    <w:rsid w:val="003B7217"/>
    <w:rsid w:val="00476F50"/>
    <w:rsid w:val="00477229"/>
    <w:rsid w:val="00494B48"/>
    <w:rsid w:val="004A45CD"/>
    <w:rsid w:val="004C4D63"/>
    <w:rsid w:val="004D5F63"/>
    <w:rsid w:val="00574E9C"/>
    <w:rsid w:val="0057673E"/>
    <w:rsid w:val="005A234D"/>
    <w:rsid w:val="005C03EC"/>
    <w:rsid w:val="00646DF0"/>
    <w:rsid w:val="00653C69"/>
    <w:rsid w:val="00792361"/>
    <w:rsid w:val="007B7324"/>
    <w:rsid w:val="008339BD"/>
    <w:rsid w:val="00881151"/>
    <w:rsid w:val="008A2DF2"/>
    <w:rsid w:val="00905C94"/>
    <w:rsid w:val="009148DA"/>
    <w:rsid w:val="0092382C"/>
    <w:rsid w:val="009B1ADB"/>
    <w:rsid w:val="00A42D9D"/>
    <w:rsid w:val="00A5378F"/>
    <w:rsid w:val="00A575B5"/>
    <w:rsid w:val="00AA4291"/>
    <w:rsid w:val="00AD3F72"/>
    <w:rsid w:val="00AE1736"/>
    <w:rsid w:val="00AF48D7"/>
    <w:rsid w:val="00AF4A4D"/>
    <w:rsid w:val="00C74048"/>
    <w:rsid w:val="00CB6482"/>
    <w:rsid w:val="00D32C59"/>
    <w:rsid w:val="00D718B2"/>
    <w:rsid w:val="00D77E0F"/>
    <w:rsid w:val="00D802E0"/>
    <w:rsid w:val="00DE338F"/>
    <w:rsid w:val="00E015FE"/>
    <w:rsid w:val="00E03957"/>
    <w:rsid w:val="00E5074B"/>
    <w:rsid w:val="00E85E32"/>
    <w:rsid w:val="00EA0EBB"/>
    <w:rsid w:val="00EB1BB4"/>
    <w:rsid w:val="00EB218B"/>
    <w:rsid w:val="00EE16C1"/>
    <w:rsid w:val="00F2327C"/>
    <w:rsid w:val="00F238B8"/>
    <w:rsid w:val="00F45909"/>
    <w:rsid w:val="00F50E73"/>
    <w:rsid w:val="00F524CF"/>
    <w:rsid w:val="00F72F4C"/>
    <w:rsid w:val="00FA30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paragraph" w:styleId="CommentText">
    <w:name w:val="annotation text"/>
    <w:basedOn w:val="Normal"/>
    <w:link w:val="CommentTextChar"/>
    <w:unhideWhenUsed/>
    <w:rsid w:val="00A42D9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42D9D"/>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tas@lst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10752</Words>
  <Characters>6130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Mantas</cp:lastModifiedBy>
  <cp:revision>2</cp:revision>
  <dcterms:created xsi:type="dcterms:W3CDTF">2020-10-30T09:35:00Z</dcterms:created>
  <dcterms:modified xsi:type="dcterms:W3CDTF">2020-10-30T09:35:00Z</dcterms:modified>
</cp:coreProperties>
</file>