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CE5F10" w:rsidRPr="00862A17" w14:paraId="0ED7D02E" w14:textId="77777777" w:rsidTr="00824DD3">
        <w:tc>
          <w:tcPr>
            <w:tcW w:w="4395" w:type="dxa"/>
          </w:tcPr>
          <w:p w14:paraId="5F32E0B6" w14:textId="77777777" w:rsidR="00CE5F10" w:rsidRPr="00D200FB" w:rsidRDefault="00CE5F10" w:rsidP="00824DD3">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5A1D67" wp14:editId="04269DBC">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3DE3959C" w14:textId="77777777" w:rsidR="00CE5F10" w:rsidRPr="00862A17" w:rsidRDefault="00CE5F10" w:rsidP="00824DD3">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5EEF664D" w14:textId="77777777" w:rsidR="00CE5F10" w:rsidRPr="00862A17" w:rsidRDefault="00CE5F10" w:rsidP="00824DD3">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p>
          <w:p w14:paraId="21346FA4" w14:textId="77777777" w:rsidR="00CE5F10" w:rsidRPr="00862A17" w:rsidRDefault="00CE5F10" w:rsidP="00824DD3">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73ABADFB" w14:textId="77777777" w:rsidR="00CE5F10" w:rsidRPr="00862A17" w:rsidRDefault="00CE5F10" w:rsidP="00824DD3">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1C3E7A5C" w14:textId="77777777" w:rsidR="00CE5F10" w:rsidRDefault="00CE5F10" w:rsidP="00824DD3">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Faks. (8-5) 2356044</w:t>
            </w:r>
          </w:p>
          <w:p w14:paraId="23E8DEC9" w14:textId="77777777" w:rsidR="00CE5F10" w:rsidRPr="00862A17" w:rsidRDefault="00CE5F10" w:rsidP="00824DD3">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37B783CF" w14:textId="77777777" w:rsidR="00CE5F10" w:rsidRPr="00862A17" w:rsidRDefault="00CE5F10" w:rsidP="00824DD3">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16487E49" w14:textId="77777777" w:rsidR="00CE5F10" w:rsidRPr="00862A17" w:rsidRDefault="00CE5F10" w:rsidP="00824DD3">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76216113" w14:textId="77777777" w:rsidR="00CE5F10" w:rsidRPr="00862A17" w:rsidRDefault="00CE5F10" w:rsidP="00824DD3">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79961CB2" w14:textId="77777777" w:rsidR="00CE5F10" w:rsidRPr="00862A17" w:rsidRDefault="00CE5F10" w:rsidP="00824DD3">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p w14:paraId="2CBDED45" w14:textId="77777777" w:rsidR="00CE5F10" w:rsidRDefault="00CE5F10">
      <w:pPr>
        <w:rPr>
          <w:rFonts w:cs="Times New Roman"/>
          <w:b/>
          <w:bCs/>
          <w:sz w:val="28"/>
          <w:szCs w:val="28"/>
        </w:rPr>
      </w:pPr>
      <w:bookmarkStart w:id="0" w:name="_GoBack"/>
      <w:bookmarkEnd w:id="0"/>
    </w:p>
    <w:p w14:paraId="0E86A9F5" w14:textId="77777777" w:rsidR="00CE5F10" w:rsidRDefault="00CE5F10">
      <w:pPr>
        <w:rPr>
          <w:rFonts w:cs="Times New Roman"/>
          <w:b/>
          <w:bCs/>
          <w:sz w:val="28"/>
          <w:szCs w:val="28"/>
        </w:rPr>
      </w:pPr>
    </w:p>
    <w:p w14:paraId="4C5AEEFF" w14:textId="0D444138" w:rsidR="00F72F4C" w:rsidRPr="00647BD7" w:rsidRDefault="00D019A1">
      <w:pPr>
        <w:rPr>
          <w:rFonts w:cs="Times New Roman"/>
          <w:b/>
          <w:bCs/>
          <w:sz w:val="28"/>
          <w:szCs w:val="28"/>
        </w:rPr>
      </w:pPr>
      <w:proofErr w:type="spellStart"/>
      <w:r w:rsidRPr="00647BD7">
        <w:rPr>
          <w:rFonts w:cs="Times New Roman"/>
          <w:b/>
          <w:bCs/>
          <w:sz w:val="28"/>
          <w:szCs w:val="28"/>
        </w:rPr>
        <w:t>Koronavirusas</w:t>
      </w:r>
      <w:proofErr w:type="spellEnd"/>
      <w:r w:rsidRPr="00647BD7">
        <w:rPr>
          <w:rFonts w:cs="Times New Roman"/>
          <w:b/>
          <w:bCs/>
          <w:sz w:val="28"/>
          <w:szCs w:val="28"/>
        </w:rPr>
        <w:t xml:space="preserve"> kaip nenugalima jėga (force majeure)</w:t>
      </w:r>
    </w:p>
    <w:p w14:paraId="578F93D0" w14:textId="77777777" w:rsidR="00D019A1" w:rsidRPr="00D019A1" w:rsidRDefault="00D019A1">
      <w:pPr>
        <w:rPr>
          <w:rFonts w:cs="Times New Roman"/>
          <w:szCs w:val="24"/>
        </w:rPr>
      </w:pPr>
    </w:p>
    <w:p w14:paraId="3A2670F9" w14:textId="77777777" w:rsidR="00D019A1" w:rsidRPr="00D019A1" w:rsidRDefault="00D019A1">
      <w:pPr>
        <w:rPr>
          <w:rFonts w:cs="Times New Roman"/>
          <w:color w:val="2C3D50"/>
          <w:szCs w:val="24"/>
        </w:rPr>
      </w:pPr>
      <w:r w:rsidRPr="00D019A1">
        <w:rPr>
          <w:rFonts w:cs="Times New Roman"/>
          <w:szCs w:val="24"/>
        </w:rPr>
        <w:t xml:space="preserve">Civilinio kodekso 6.204 straipsnis numato, jog jeigu sutarties vykdymo metu atsiranda aplinkybės, kurios nebuvo žinomos iki sutarties sudarymo, o jos sudarymo metu šių aplinkybių nebuvo galima numatyti ir nukentėjusi šalis negali jų kontroliuoti bei nėra prisiėmusi tokių aplinkybių atsiradimo rizikos ir būtent dėl šių aplinkybių iš esmės padidėja įsipareigojimų įvykdymo kaina arba iš esmės sumažėja gaunamas sutarties įvykdymas, nukentėjusi sutarties šalis turi teisę kreiptis į kitą šalį prašydama sutartį pakeisti. Minėtos aplinkybės laikomos sutarties vykdymo suvaržymu ir apie jas turi būti pranešta tuoj po jų atsiradimo, kartu pateikiant pagrįstą ir motyvuotą prašymą pakeisti sutartį. </w:t>
      </w:r>
      <w:r w:rsidRPr="00D019A1">
        <w:rPr>
          <w:rFonts w:cs="Times New Roman"/>
          <w:color w:val="2C3D50"/>
          <w:szCs w:val="24"/>
        </w:rPr>
        <w:t>Neradus sutarimo, galima ginčą spręsti teisme, kuris priims sprendimą arba nutraukti sutartį, arba pakeisti sutarties sąlygas, kad būtų atkurta šalių sutartinių prievolių pusiausvyra.</w:t>
      </w:r>
    </w:p>
    <w:p w14:paraId="6FC8D533" w14:textId="77777777" w:rsidR="00D019A1" w:rsidRPr="00D019A1" w:rsidRDefault="00D019A1">
      <w:pPr>
        <w:rPr>
          <w:rFonts w:cs="Times New Roman"/>
          <w:color w:val="2C3D50"/>
          <w:szCs w:val="24"/>
        </w:rPr>
      </w:pPr>
    </w:p>
    <w:p w14:paraId="06A7F014" w14:textId="77777777" w:rsidR="00D019A1" w:rsidRPr="00D019A1" w:rsidRDefault="00D019A1" w:rsidP="00D019A1">
      <w:pPr>
        <w:pStyle w:val="NormalWeb"/>
        <w:spacing w:before="360" w:beforeAutospacing="0" w:after="360" w:afterAutospacing="0"/>
        <w:jc w:val="both"/>
        <w:rPr>
          <w:color w:val="2C3D50"/>
        </w:rPr>
      </w:pPr>
      <w:r w:rsidRPr="00D019A1">
        <w:rPr>
          <w:color w:val="2C3D50"/>
        </w:rPr>
        <w:t xml:space="preserve">Su nenugalima jėga </w:t>
      </w:r>
      <w:r>
        <w:rPr>
          <w:color w:val="2C3D50"/>
        </w:rPr>
        <w:t>(</w:t>
      </w:r>
      <w:r w:rsidRPr="00D019A1">
        <w:rPr>
          <w:rStyle w:val="Emphasis"/>
          <w:color w:val="2C3D50"/>
        </w:rPr>
        <w:t>force majeure </w:t>
      </w:r>
      <w:r>
        <w:rPr>
          <w:rStyle w:val="Emphasis"/>
          <w:color w:val="2C3D50"/>
        </w:rPr>
        <w:t>)</w:t>
      </w:r>
      <w:r w:rsidRPr="00D019A1">
        <w:rPr>
          <w:color w:val="2C3D50"/>
        </w:rPr>
        <w:t xml:space="preserve"> susidūrusi sutarties šalis turi teisę stabdyti savo įsipareigojimų vykdymą tol, kol neišnyksta </w:t>
      </w:r>
      <w:r w:rsidRPr="00D019A1">
        <w:rPr>
          <w:rStyle w:val="Emphasis"/>
          <w:color w:val="2C3D50"/>
        </w:rPr>
        <w:t>force majeure </w:t>
      </w:r>
      <w:r w:rsidRPr="00D019A1">
        <w:rPr>
          <w:color w:val="2C3D50"/>
        </w:rPr>
        <w:t>aplinkybės, o jei tokia situacija trunka ilgą laiką, galimas sutarties nutraukimas. Sąlygos pripažinti, jog veikia </w:t>
      </w:r>
      <w:r w:rsidRPr="00D019A1">
        <w:rPr>
          <w:rStyle w:val="Emphasis"/>
          <w:color w:val="2C3D50"/>
        </w:rPr>
        <w:t>force majeure</w:t>
      </w:r>
      <w:r w:rsidRPr="00D019A1">
        <w:rPr>
          <w:color w:val="2C3D50"/>
        </w:rPr>
        <w:t>, yra analogiškos, kaip ir norint pakeisti sutartį pasikeitusių aplinkybių pagrindu. Pagrindas atleisti nuo atsakomybės atsiranda nuo nenugalimos jėgos aplinkybės (kliūties) atsiradimo momento arba nuo pranešimo momento, jei nepranešama laiku, tad apie susidariusią nenugalimos jėgos situaciją kita sandorio šalis – tiekėjai, klientai, partneriai – turi būti informuoti nedelsiant. Laiku nepranešusi apie susidariusią situaciją ir įsipareigojimų nevykdanti šalis tampa iš dalies atsakinga už nuostolių, kurių priešingu atveju būtų buvę išvengta, atlyginimą. Nenugalimos jėgos atveju netaikoma civilinė atsakomybė, t. y. nemokami delspinigiai ir baudos, šalis atleidžiama nuo nuostolių atlyginimo bei kitų sutartyje numatytų sankcijų (išskyrus prievolę mokėti palūkanas).</w:t>
      </w:r>
    </w:p>
    <w:p w14:paraId="73B1EE21" w14:textId="77777777" w:rsidR="00D019A1" w:rsidRPr="00D019A1" w:rsidRDefault="00D019A1" w:rsidP="00D019A1">
      <w:pPr>
        <w:pStyle w:val="NormalWeb"/>
        <w:spacing w:before="360" w:beforeAutospacing="0" w:after="360" w:afterAutospacing="0"/>
        <w:jc w:val="both"/>
        <w:rPr>
          <w:color w:val="2C3D50"/>
        </w:rPr>
      </w:pPr>
      <w:r w:rsidRPr="00D019A1">
        <w:rPr>
          <w:color w:val="2C3D50"/>
        </w:rPr>
        <w:t xml:space="preserve">Atsižvelgiant į </w:t>
      </w:r>
      <w:proofErr w:type="spellStart"/>
      <w:r w:rsidRPr="00D019A1">
        <w:rPr>
          <w:color w:val="2C3D50"/>
        </w:rPr>
        <w:t>koronoviruso</w:t>
      </w:r>
      <w:proofErr w:type="spellEnd"/>
      <w:r w:rsidRPr="00D019A1">
        <w:rPr>
          <w:color w:val="2C3D50"/>
        </w:rPr>
        <w:t xml:space="preserve"> sukeliamas pasekmes verslo sektoriams, Lietuvos prekybos, pramonės ir amatų rūmai oficialiai nurodė, kad Covid-19 yra viena iš aplinkybių, galinčių būti pripažinta nenugalima jėga. Visgi norint gauti </w:t>
      </w:r>
      <w:r w:rsidRPr="00D019A1">
        <w:rPr>
          <w:rStyle w:val="Emphasis"/>
          <w:color w:val="2C3D50"/>
        </w:rPr>
        <w:t>force majeure </w:t>
      </w:r>
      <w:r w:rsidRPr="00D019A1">
        <w:rPr>
          <w:color w:val="2C3D50"/>
        </w:rPr>
        <w:t xml:space="preserve">aplinkybes liudijančias pažymas, Rūmams turės būti pateikti argumentai ne tik apie tai, kad egzistuoja su </w:t>
      </w:r>
      <w:proofErr w:type="spellStart"/>
      <w:r w:rsidRPr="00D019A1">
        <w:rPr>
          <w:color w:val="2C3D50"/>
        </w:rPr>
        <w:t>koronavirusu</w:t>
      </w:r>
      <w:proofErr w:type="spellEnd"/>
      <w:r w:rsidRPr="00D019A1">
        <w:rPr>
          <w:color w:val="2C3D50"/>
        </w:rPr>
        <w:t xml:space="preserve"> susijusių aplinkybių, sukėlusių sunkumų įmonei vykdyti sutartinius įsipareigojimus - vien ekstremalios situacijos paskelbimas savaime neatleidžia verslo subjektų nuo prievolių vykdymo, - bet ir pagrįsta, jog būtent šios aplinkybės lėmė sutarties nevykdymą. Tai reiškia, jog kiekvienąkart  </w:t>
      </w:r>
      <w:r w:rsidRPr="00D019A1">
        <w:rPr>
          <w:rStyle w:val="Emphasis"/>
          <w:color w:val="2C3D50"/>
        </w:rPr>
        <w:t>force majeure </w:t>
      </w:r>
      <w:r w:rsidRPr="00D019A1">
        <w:rPr>
          <w:color w:val="2C3D50"/>
        </w:rPr>
        <w:t>buvimas yra nustatomas konkrečiu atveju, atsižvelgus į faktines aplinkybes.</w:t>
      </w:r>
      <w:r>
        <w:rPr>
          <w:color w:val="2C3D50"/>
        </w:rPr>
        <w:t xml:space="preserve"> </w:t>
      </w:r>
      <w:r w:rsidRPr="00D019A1">
        <w:rPr>
          <w:color w:val="2C3D50"/>
          <w:sz w:val="20"/>
          <w:szCs w:val="20"/>
        </w:rPr>
        <w:t>(</w:t>
      </w:r>
      <w:r w:rsidRPr="00D019A1">
        <w:rPr>
          <w:i/>
          <w:iCs/>
          <w:color w:val="2C3D50"/>
          <w:sz w:val="20"/>
          <w:szCs w:val="20"/>
        </w:rPr>
        <w:t xml:space="preserve">šaltinis </w:t>
      </w:r>
      <w:hyperlink r:id="rId5" w:history="1">
        <w:r w:rsidRPr="00D019A1">
          <w:rPr>
            <w:rStyle w:val="Hyperlink"/>
            <w:i/>
            <w:iCs/>
            <w:sz w:val="20"/>
            <w:szCs w:val="20"/>
          </w:rPr>
          <w:t>http://www.ilaw.legal/teisininkas/Koronaviruso-valdymas-force-majeure-darbo-mokesciu-bei-imoniu-teisiu-teikiami-instrumentai-verslui/</w:t>
        </w:r>
      </w:hyperlink>
      <w:r w:rsidRPr="00D019A1">
        <w:rPr>
          <w:sz w:val="20"/>
          <w:szCs w:val="20"/>
        </w:rPr>
        <w:t xml:space="preserve"> )</w:t>
      </w:r>
    </w:p>
    <w:p w14:paraId="0C09510B" w14:textId="77777777" w:rsidR="00D019A1" w:rsidRPr="00D019A1" w:rsidRDefault="00D019A1" w:rsidP="00D019A1">
      <w:pPr>
        <w:rPr>
          <w:rFonts w:cs="Times New Roman"/>
          <w:szCs w:val="24"/>
        </w:rPr>
      </w:pPr>
      <w:r w:rsidRPr="00D019A1">
        <w:rPr>
          <w:rFonts w:cs="Times New Roman"/>
          <w:szCs w:val="24"/>
        </w:rPr>
        <w:t xml:space="preserve">Karantino sąlygomis tai paliečia tuos, kurių veikla iš esmės buvo uždrausta. Tačiau ir šiuo atveju tai palies ne visus uždrausto verslo turimus sutartinius santykius, bet tik tuos, kurių objektyviai neįmanoma vykdyti būtent dėl karantino. Taigi, tik visiškas </w:t>
      </w:r>
      <w:proofErr w:type="spellStart"/>
      <w:r w:rsidRPr="00D019A1">
        <w:rPr>
          <w:rFonts w:cs="Times New Roman"/>
          <w:szCs w:val="24"/>
        </w:rPr>
        <w:t>neįmanomumas</w:t>
      </w:r>
      <w:proofErr w:type="spellEnd"/>
      <w:r w:rsidRPr="00D019A1">
        <w:rPr>
          <w:rFonts w:cs="Times New Roman"/>
          <w:szCs w:val="24"/>
        </w:rPr>
        <w:t xml:space="preserve"> įvykdyti sutartį gali būti pagrindas visiškai ar iš dalies atleisti šalį nuo sutartinių įsipareigojimų, vadovaujantis force majeure aplinkybe</w:t>
      </w:r>
    </w:p>
    <w:p w14:paraId="5C76B995" w14:textId="77777777" w:rsidR="00D019A1" w:rsidRPr="00D019A1" w:rsidRDefault="00D019A1" w:rsidP="00D019A1">
      <w:pPr>
        <w:rPr>
          <w:rFonts w:cs="Times New Roman"/>
          <w:szCs w:val="24"/>
        </w:rPr>
      </w:pPr>
    </w:p>
    <w:p w14:paraId="51BA77DF" w14:textId="77777777" w:rsidR="00D019A1" w:rsidRPr="00D019A1" w:rsidRDefault="00D019A1" w:rsidP="00D019A1">
      <w:pPr>
        <w:rPr>
          <w:rFonts w:cs="Times New Roman"/>
          <w:sz w:val="20"/>
          <w:szCs w:val="20"/>
        </w:rPr>
      </w:pPr>
      <w:r>
        <w:rPr>
          <w:rFonts w:cs="Times New Roman"/>
          <w:szCs w:val="24"/>
        </w:rPr>
        <w:t>N</w:t>
      </w:r>
      <w:r w:rsidRPr="00D019A1">
        <w:rPr>
          <w:rFonts w:cs="Times New Roman"/>
          <w:szCs w:val="24"/>
        </w:rPr>
        <w:t>et ir turint prekybos, pramonės ir amatų rūmų išduotas nenugalimos jėgos aplinkybes liudijančias pažymas, teismai, kilus ginčui, vis tiek savarankiškai vertins faktines aplinkybes ir patys nuspręs, ar konkrečioje situacijoje buvo force majeure aplinkybės, ar ne</w:t>
      </w:r>
      <w:r>
        <w:rPr>
          <w:rFonts w:cs="Times New Roman"/>
          <w:szCs w:val="24"/>
        </w:rPr>
        <w:t xml:space="preserve">. </w:t>
      </w:r>
      <w:r w:rsidRPr="00D019A1">
        <w:rPr>
          <w:rFonts w:cs="Times New Roman"/>
          <w:sz w:val="20"/>
          <w:szCs w:val="20"/>
        </w:rPr>
        <w:t>(</w:t>
      </w:r>
      <w:r w:rsidRPr="00D019A1">
        <w:rPr>
          <w:rFonts w:cs="Times New Roman"/>
          <w:i/>
          <w:iCs/>
          <w:sz w:val="20"/>
          <w:szCs w:val="20"/>
        </w:rPr>
        <w:t xml:space="preserve">šaltinis </w:t>
      </w:r>
      <w:hyperlink r:id="rId6" w:history="1">
        <w:r w:rsidRPr="00D019A1">
          <w:rPr>
            <w:rStyle w:val="Hyperlink"/>
            <w:i/>
            <w:iCs/>
            <w:sz w:val="20"/>
            <w:szCs w:val="18"/>
          </w:rPr>
          <w:t>https://www.vz.lt/verslo-aplinka/2020/03/24/beveik-visi-force-majeure-pazymu-prasymai--del-patalpu-nuomos&amp;47ckS</w:t>
        </w:r>
      </w:hyperlink>
      <w:r w:rsidRPr="00D019A1">
        <w:rPr>
          <w:sz w:val="20"/>
          <w:szCs w:val="18"/>
        </w:rPr>
        <w:t xml:space="preserve"> )</w:t>
      </w:r>
    </w:p>
    <w:p w14:paraId="799591AE" w14:textId="77777777" w:rsidR="00D019A1" w:rsidRPr="00D019A1" w:rsidRDefault="00D019A1" w:rsidP="00D019A1">
      <w:pPr>
        <w:rPr>
          <w:rFonts w:cs="Times New Roman"/>
          <w:szCs w:val="24"/>
        </w:rPr>
      </w:pPr>
    </w:p>
    <w:p w14:paraId="7A02C116" w14:textId="21A4D0D3" w:rsidR="00647BD7" w:rsidRDefault="00A61567" w:rsidP="00647BD7">
      <w:r>
        <w:rPr>
          <w:rFonts w:cs="Times New Roman"/>
          <w:szCs w:val="24"/>
        </w:rPr>
        <w:lastRenderedPageBreak/>
        <w:t>LŠTA atkreipia</w:t>
      </w:r>
      <w:r w:rsidR="00D019A1">
        <w:rPr>
          <w:rFonts w:cs="Times New Roman"/>
          <w:szCs w:val="24"/>
        </w:rPr>
        <w:t xml:space="preserve"> dėmes</w:t>
      </w:r>
      <w:r>
        <w:rPr>
          <w:rFonts w:cs="Times New Roman"/>
          <w:szCs w:val="24"/>
        </w:rPr>
        <w:t>į</w:t>
      </w:r>
      <w:r w:rsidR="00D019A1">
        <w:rPr>
          <w:rFonts w:cs="Times New Roman"/>
          <w:szCs w:val="24"/>
        </w:rPr>
        <w:t xml:space="preserve">, kad Šilumos tiekimo įmonės vykdė ir vykdo savo sutartinius įsipareigojimus – tiekia šilumą ir karštą vandenį </w:t>
      </w:r>
      <w:r>
        <w:rPr>
          <w:rFonts w:cs="Times New Roman"/>
          <w:szCs w:val="24"/>
        </w:rPr>
        <w:t xml:space="preserve">visą karantino laikotarpį, kuris paskelbtas nuo kovo 16 d. Už gautą paslaugą </w:t>
      </w:r>
      <w:r w:rsidR="00801BFC">
        <w:rPr>
          <w:rFonts w:cs="Times New Roman"/>
          <w:szCs w:val="24"/>
        </w:rPr>
        <w:t xml:space="preserve">viziniams ir juridiniams vartotojams </w:t>
      </w:r>
      <w:r>
        <w:rPr>
          <w:rFonts w:cs="Times New Roman"/>
          <w:szCs w:val="24"/>
        </w:rPr>
        <w:t>privalu atsiskaityti, o jei paslaugos gavėjo finansiniai srautai sutrinka (nepakankamas mokumas galima</w:t>
      </w:r>
      <w:r w:rsidR="00801BFC">
        <w:rPr>
          <w:rFonts w:cs="Times New Roman"/>
          <w:szCs w:val="24"/>
        </w:rPr>
        <w:t>s</w:t>
      </w:r>
      <w:r>
        <w:rPr>
          <w:rFonts w:cs="Times New Roman"/>
          <w:szCs w:val="24"/>
        </w:rPr>
        <w:t xml:space="preserve"> ir ne karantino metu), būtina nedelsiant kreiptis</w:t>
      </w:r>
      <w:r w:rsidR="00801BFC">
        <w:rPr>
          <w:rFonts w:cs="Times New Roman"/>
          <w:szCs w:val="24"/>
        </w:rPr>
        <w:t xml:space="preserve"> į</w:t>
      </w:r>
      <w:r>
        <w:rPr>
          <w:rFonts w:cs="Times New Roman"/>
          <w:szCs w:val="24"/>
        </w:rPr>
        <w:t xml:space="preserve"> šilumos tiekėją ir ieškoti sprendimų, kaip susidaręs įsiskolinimas bus išdėstytas ateities laikotarpyje. Apie tai, kad </w:t>
      </w:r>
      <w:r w:rsidRPr="00A61567">
        <w:rPr>
          <w:rFonts w:cs="Times New Roman"/>
          <w:b/>
          <w:bCs/>
          <w:szCs w:val="24"/>
        </w:rPr>
        <w:t>Ekstremali situacija ir karantinas neatleidžia verslo subjektų nuo sutartinių prievolių vykdymo</w:t>
      </w:r>
      <w:r>
        <w:rPr>
          <w:rFonts w:cs="Times New Roman"/>
          <w:b/>
          <w:bCs/>
          <w:szCs w:val="24"/>
        </w:rPr>
        <w:t xml:space="preserve"> </w:t>
      </w:r>
      <w:r>
        <w:rPr>
          <w:rFonts w:cs="Times New Roman"/>
          <w:szCs w:val="24"/>
        </w:rPr>
        <w:t xml:space="preserve">paskelbė ir LR Vyriausybė savo pranešime (žr. </w:t>
      </w:r>
      <w:hyperlink r:id="rId7" w:history="1">
        <w:r>
          <w:rPr>
            <w:rStyle w:val="Hyperlink"/>
          </w:rPr>
          <w:t>https://lrv.lt/lt/naujienos/ekstremali-situacija-ir-karantinas-neatleidzia-verslo-subjektu-nuo-sutartiniu-prievoliu-vykdymo</w:t>
        </w:r>
      </w:hyperlink>
      <w:r>
        <w:t xml:space="preserve"> )</w:t>
      </w:r>
      <w:r w:rsidR="00647BD7">
        <w:t xml:space="preserve">. Be to, LR Vyriausybė pritarė 5 mlrd. eurų vertės ekonomikos skatinimo ir pagalbos paketo priemonėms nuo </w:t>
      </w:r>
      <w:proofErr w:type="spellStart"/>
      <w:r w:rsidR="00647BD7">
        <w:t>koronaviruso</w:t>
      </w:r>
      <w:proofErr w:type="spellEnd"/>
      <w:r w:rsidR="00647BD7">
        <w:t xml:space="preserve"> protrūkio nukentėjusiam verslui, o Valstybinė mokesčių inspekcija paskelbė 32 tūkst. labiausiai nuo COVID-19 nukentėjusių verslų </w:t>
      </w:r>
      <w:hyperlink r:id="rId8" w:history="1">
        <w:r w:rsidR="00647BD7" w:rsidRPr="00647BD7">
          <w:rPr>
            <w:rStyle w:val="Hyperlink"/>
          </w:rPr>
          <w:t>sąrašą</w:t>
        </w:r>
      </w:hyperlink>
      <w:r w:rsidR="00647BD7">
        <w:t>.</w:t>
      </w:r>
    </w:p>
    <w:p w14:paraId="56B65304" w14:textId="77777777" w:rsidR="00647BD7" w:rsidRDefault="00647BD7" w:rsidP="00647BD7"/>
    <w:p w14:paraId="0B9D7F5F" w14:textId="3EB638F6" w:rsidR="00647BD7" w:rsidRDefault="00647BD7" w:rsidP="00647BD7">
      <w:r>
        <w:t xml:space="preserve">Verslo įmonės, kurios skelbia prastovą arba nutraukė verslą, gali Šilumos ūkio įstatymo 13 str. nustatyta tvarka priimti sprendimą dėl </w:t>
      </w:r>
      <w:r w:rsidR="00885451" w:rsidRPr="00801BFC">
        <w:t xml:space="preserve">ankstesnės </w:t>
      </w:r>
      <w:r w:rsidRPr="00801BFC">
        <w:t>šildymo sezono pabaigos ir taip ateityje neurėti išlaidų šildymui. Neeiliniu laikotarpiu laikinas šildymo sąskaitų apmokėjimo termino pratęsimas yra įmanomas, tačiau tik individualiais atvejais ir dokumentais pagrindžiant reikšmingą pajamų sumažėjimą.</w:t>
      </w:r>
      <w:r w:rsidR="006533FD" w:rsidRPr="00801BFC">
        <w:t xml:space="preserve"> Tokiems klientams šilumos tiekėjai pritaikys individualų mokėjimo grafiką</w:t>
      </w:r>
      <w:r w:rsidR="00885451" w:rsidRPr="00801BFC">
        <w:t>.</w:t>
      </w:r>
      <w:r w:rsidR="00885451">
        <w:t xml:space="preserve"> </w:t>
      </w:r>
    </w:p>
    <w:p w14:paraId="342C0773" w14:textId="77777777" w:rsidR="00D019A1" w:rsidRPr="00647BD7" w:rsidRDefault="00D019A1" w:rsidP="00647BD7"/>
    <w:sectPr w:rsidR="00D019A1" w:rsidRPr="00647BD7"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A1"/>
    <w:rsid w:val="0005510C"/>
    <w:rsid w:val="00647BD7"/>
    <w:rsid w:val="006533FD"/>
    <w:rsid w:val="00801BFC"/>
    <w:rsid w:val="00885451"/>
    <w:rsid w:val="00A61567"/>
    <w:rsid w:val="00CE5F10"/>
    <w:rsid w:val="00D019A1"/>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2740"/>
  <w15:chartTrackingRefBased/>
  <w15:docId w15:val="{5431F27D-CA8A-4989-9D2F-B94F73B7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9A1"/>
    <w:pPr>
      <w:spacing w:before="100" w:beforeAutospacing="1" w:after="100" w:afterAutospacing="1"/>
    </w:pPr>
    <w:rPr>
      <w:rFonts w:eastAsia="Times New Roman" w:cs="Times New Roman"/>
      <w:szCs w:val="24"/>
      <w:lang w:eastAsia="lt-LT"/>
    </w:rPr>
  </w:style>
  <w:style w:type="character" w:styleId="Emphasis">
    <w:name w:val="Emphasis"/>
    <w:basedOn w:val="DefaultParagraphFont"/>
    <w:uiPriority w:val="20"/>
    <w:qFormat/>
    <w:rsid w:val="00D019A1"/>
    <w:rPr>
      <w:i/>
      <w:iCs/>
    </w:rPr>
  </w:style>
  <w:style w:type="character" w:styleId="Hyperlink">
    <w:name w:val="Hyperlink"/>
    <w:basedOn w:val="DefaultParagraphFont"/>
    <w:uiPriority w:val="99"/>
    <w:unhideWhenUsed/>
    <w:rsid w:val="00D019A1"/>
    <w:rPr>
      <w:color w:val="0000FF"/>
      <w:u w:val="single"/>
    </w:rPr>
  </w:style>
  <w:style w:type="character" w:styleId="UnresolvedMention">
    <w:name w:val="Unresolved Mention"/>
    <w:basedOn w:val="DefaultParagraphFont"/>
    <w:uiPriority w:val="99"/>
    <w:semiHidden/>
    <w:unhideWhenUsed/>
    <w:rsid w:val="00647BD7"/>
    <w:rPr>
      <w:color w:val="605E5C"/>
      <w:shd w:val="clear" w:color="auto" w:fill="E1DFDD"/>
    </w:rPr>
  </w:style>
  <w:style w:type="paragraph" w:styleId="Footer">
    <w:name w:val="footer"/>
    <w:basedOn w:val="Normal"/>
    <w:link w:val="FooterChar"/>
    <w:uiPriority w:val="99"/>
    <w:unhideWhenUsed/>
    <w:rsid w:val="00CE5F10"/>
    <w:pPr>
      <w:tabs>
        <w:tab w:val="center" w:pos="4819"/>
        <w:tab w:val="right" w:pos="9638"/>
      </w:tabs>
    </w:pPr>
    <w:rPr>
      <w:rFonts w:asciiTheme="minorHAnsi" w:hAnsiTheme="minorHAnsi"/>
      <w:sz w:val="22"/>
    </w:rPr>
  </w:style>
  <w:style w:type="character" w:customStyle="1" w:styleId="FooterChar">
    <w:name w:val="Footer Char"/>
    <w:basedOn w:val="DefaultParagraphFont"/>
    <w:link w:val="Footer"/>
    <w:uiPriority w:val="99"/>
    <w:rsid w:val="00CE5F10"/>
    <w:rPr>
      <w:rFonts w:asciiTheme="minorHAnsi" w:hAnsiTheme="minorHAnsi"/>
      <w:sz w:val="22"/>
    </w:rPr>
  </w:style>
  <w:style w:type="table" w:styleId="TableGrid">
    <w:name w:val="Table Grid"/>
    <w:basedOn w:val="TableNormal"/>
    <w:uiPriority w:val="59"/>
    <w:rsid w:val="00CE5F1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02194">
      <w:bodyDiv w:val="1"/>
      <w:marLeft w:val="0"/>
      <w:marRight w:val="0"/>
      <w:marTop w:val="0"/>
      <w:marBottom w:val="0"/>
      <w:divBdr>
        <w:top w:val="none" w:sz="0" w:space="0" w:color="auto"/>
        <w:left w:val="none" w:sz="0" w:space="0" w:color="auto"/>
        <w:bottom w:val="none" w:sz="0" w:space="0" w:color="auto"/>
        <w:right w:val="none" w:sz="0" w:space="0" w:color="auto"/>
      </w:divBdr>
    </w:div>
    <w:div w:id="16334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4ZGLhsFnhmFBu9Cd-oMekOv2b5EqWC0/preview" TargetMode="External"/><Relationship Id="rId3" Type="http://schemas.openxmlformats.org/officeDocument/2006/relationships/webSettings" Target="webSettings.xml"/><Relationship Id="rId7" Type="http://schemas.openxmlformats.org/officeDocument/2006/relationships/hyperlink" Target="https://lrv.lt/lt/naujienos/ekstremali-situacija-ir-karantinas-neatleidzia-verslo-subjektu-nuo-sutartiniu-prievoliu-vykdy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z.lt/verslo-aplinka/2020/03/24/beveik-visi-force-majeure-pazymu-prasymai--del-patalpu-nuomos&amp;47ckS" TargetMode="External"/><Relationship Id="rId5" Type="http://schemas.openxmlformats.org/officeDocument/2006/relationships/hyperlink" Target="http://www.ilaw.legal/teisininkas/Koronaviruso-valdymas-force-majeure-darbo-mokesciu-bei-imoniu-teisiu-teikiami-instrumentai-verslu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3794</Words>
  <Characters>2163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LŠTA – Mantas Paulauskas</cp:lastModifiedBy>
  <cp:revision>3</cp:revision>
  <dcterms:created xsi:type="dcterms:W3CDTF">2020-03-25T08:19:00Z</dcterms:created>
  <dcterms:modified xsi:type="dcterms:W3CDTF">2020-03-25T08:20:00Z</dcterms:modified>
</cp:coreProperties>
</file>