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1D" w:rsidRPr="00A10521" w:rsidRDefault="002F511D" w:rsidP="00A10521">
      <w:pPr>
        <w:pStyle w:val="NormalWeb"/>
        <w:spacing w:before="0" w:beforeAutospacing="0" w:after="0" w:afterAutospacing="0" w:line="360" w:lineRule="auto"/>
        <w:jc w:val="center"/>
      </w:pPr>
      <w:r w:rsidRPr="00A10521">
        <w:rPr>
          <w:rStyle w:val="Strong"/>
          <w:color w:val="000080"/>
        </w:rPr>
        <w:t>ŠALČININKUOSE ĮVYKDYTAS INVESTICINIS PROJEKTAS</w:t>
      </w:r>
    </w:p>
    <w:p w:rsidR="002F511D" w:rsidRPr="00A10521" w:rsidRDefault="002F511D" w:rsidP="00A10521">
      <w:pPr>
        <w:pStyle w:val="NormalWeb"/>
        <w:spacing w:before="0" w:beforeAutospacing="0" w:after="0" w:afterAutospacing="0" w:line="360" w:lineRule="auto"/>
        <w:jc w:val="center"/>
      </w:pPr>
      <w:r w:rsidRPr="00A10521">
        <w:rPr>
          <w:rStyle w:val="Strong"/>
          <w:color w:val="000080"/>
        </w:rPr>
        <w:t>“BIOKURO PANAUDOJIMAS ŠILUMOS GAMYBAI ŠALČININKŲ MIESTE”</w:t>
      </w:r>
    </w:p>
    <w:p w:rsidR="002F511D" w:rsidRPr="00A10521" w:rsidRDefault="002F511D" w:rsidP="00A10521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A10521">
        <w:rPr>
          <w:rStyle w:val="Strong"/>
        </w:rPr>
        <w:t> </w:t>
      </w:r>
      <w:r w:rsidRPr="00A10521">
        <w:t>UAB „Šalčininkų šilumos tinklai“ (toliau – Bendrovė) 2015 m. rugsėjo mėn. 30 d. įvykdė investicinį projektą „Biokuro katilinės įrenginių ir kuro sandėlio statyba Šalčininkų mieste”.</w:t>
      </w:r>
    </w:p>
    <w:p w:rsidR="002F511D" w:rsidRPr="00A10521" w:rsidRDefault="002F511D" w:rsidP="00A10521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A10521">
        <w:rPr>
          <w:b/>
        </w:rPr>
        <w:t>PROJEKTO TIKSLAS</w:t>
      </w:r>
    </w:p>
    <w:p w:rsidR="002F511D" w:rsidRPr="00A10521" w:rsidRDefault="002F511D" w:rsidP="00A10521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A10521">
        <w:t>Projekto tikslas – rekonstruoti Šalčininkų katilinę, didinant atsinaujinančių energijos išteklių naudojimą energijos gamybai. Projektas įgyvendinamas pagal Sanglaudos skatinimo veiksmų programą.</w:t>
      </w:r>
    </w:p>
    <w:p w:rsidR="002F511D" w:rsidRPr="00A10521" w:rsidRDefault="002F511D" w:rsidP="00A10521">
      <w:pPr>
        <w:pStyle w:val="NormalWeb"/>
        <w:spacing w:before="0" w:beforeAutospacing="0" w:after="0" w:afterAutospacing="0" w:line="360" w:lineRule="auto"/>
        <w:jc w:val="center"/>
        <w:rPr>
          <w:rStyle w:val="Strong"/>
          <w:caps/>
        </w:rPr>
      </w:pPr>
      <w:r w:rsidRPr="00A10521">
        <w:rPr>
          <w:rStyle w:val="Strong"/>
          <w:caps/>
        </w:rPr>
        <w:t>Projekto esmė</w:t>
      </w:r>
    </w:p>
    <w:p w:rsidR="007468D4" w:rsidRPr="00A10521" w:rsidRDefault="00C22974" w:rsidP="00A10521">
      <w:pPr>
        <w:pStyle w:val="Default"/>
        <w:spacing w:line="360" w:lineRule="auto"/>
        <w:ind w:firstLine="567"/>
        <w:jc w:val="both"/>
      </w:pPr>
      <w:r w:rsidRPr="00C22974">
        <w:rPr>
          <w:lang w:val="lt-LT"/>
        </w:rPr>
        <w:t>Šalčininkų</w:t>
      </w:r>
      <w:r w:rsidR="002F511D" w:rsidRPr="00C22974">
        <w:rPr>
          <w:lang w:val="lt-LT"/>
        </w:rPr>
        <w:t xml:space="preserve"> katilinės teritorijoje sumontuotas 5,0 MW galios vandens šildymo katilas su biokuro pakura, pastatytas dūmų valymo įrenginis – multiciklonas, 1,25 MW galios dūmų kondensacinis ekonomaizeris ir kiti pagalbiniai įrenginiai. </w:t>
      </w:r>
      <w:r w:rsidR="002F511D" w:rsidRPr="00984E4F">
        <w:rPr>
          <w:lang w:val="lt-LT"/>
        </w:rPr>
        <w:t xml:space="preserve">Biokuro katilui  įrengtas dūmtraukis su nerūdijančio plieno įdėklu. Sklype, šalia esamo katilinės pastato pastatytas antžeminis biokuro sandėlis, sandėlio tūris užtikrina 1 paros kuro atsargą, katilui dirbant nominaliu našumu. Šalia sandėlio įrengta atvira kuro saugojimo aikštelė, kurioje galima sukaupti 2 parų kuro atsargą katilui dirbant nominaliu našumu. </w:t>
      </w:r>
      <w:proofErr w:type="spellStart"/>
      <w:proofErr w:type="gramStart"/>
      <w:r w:rsidR="002F511D" w:rsidRPr="00A10521">
        <w:t>Iš</w:t>
      </w:r>
      <w:proofErr w:type="spellEnd"/>
      <w:r w:rsidR="002F511D" w:rsidRPr="00A10521">
        <w:t xml:space="preserve"> </w:t>
      </w:r>
      <w:proofErr w:type="spellStart"/>
      <w:r w:rsidR="002F511D" w:rsidRPr="00A10521">
        <w:t>kuro</w:t>
      </w:r>
      <w:proofErr w:type="spellEnd"/>
      <w:r w:rsidR="002F511D" w:rsidRPr="00A10521">
        <w:t xml:space="preserve"> </w:t>
      </w:r>
      <w:proofErr w:type="spellStart"/>
      <w:r w:rsidR="002F511D" w:rsidRPr="00A10521">
        <w:t>sandėlio</w:t>
      </w:r>
      <w:proofErr w:type="spellEnd"/>
      <w:r w:rsidR="002F511D" w:rsidRPr="00A10521">
        <w:t xml:space="preserve"> </w:t>
      </w:r>
      <w:proofErr w:type="spellStart"/>
      <w:r w:rsidR="002F511D" w:rsidRPr="00A10521">
        <w:t>kuras</w:t>
      </w:r>
      <w:proofErr w:type="spellEnd"/>
      <w:r w:rsidR="002F511D" w:rsidRPr="00A10521">
        <w:t xml:space="preserve"> grandiklinių transporterių pagalba tiekiamas į katilinę.</w:t>
      </w:r>
      <w:proofErr w:type="gramEnd"/>
      <w:r w:rsidR="002F511D" w:rsidRPr="00A10521">
        <w:t xml:space="preserve"> Išasfaltuotas privažiavimas prie biokuro sandėlio, taip pat yra numatyta galimybė apsisukti biokurą atvežančiam autotransportui. Po projekto įgyvendinimo Šalčininkų katilinėje apie 85-90 proc. generuojamos šilumos bus gaunama iš biokuro ir taip bus išlaikomas UAB „Šalčininkų šilumos tinklai“ šilumos ūkio konkurencingumas, </w:t>
      </w:r>
      <w:bookmarkStart w:id="0" w:name="_GoBack"/>
      <w:bookmarkEnd w:id="0"/>
      <w:r w:rsidR="002F511D" w:rsidRPr="00A10521">
        <w:t xml:space="preserve">aukšta vartotojams tiekiamos paslaugos kokybė ir patikimumas. </w:t>
      </w:r>
    </w:p>
    <w:p w:rsidR="002F511D" w:rsidRPr="00A10521" w:rsidRDefault="002F511D" w:rsidP="00A10521">
      <w:pPr>
        <w:pStyle w:val="Default"/>
        <w:spacing w:line="360" w:lineRule="auto"/>
        <w:jc w:val="both"/>
        <w:rPr>
          <w:color w:val="auto"/>
          <w:lang w:val="lt-LT"/>
        </w:rPr>
      </w:pPr>
      <w:proofErr w:type="spellStart"/>
      <w:proofErr w:type="gramStart"/>
      <w:r w:rsidRPr="00A10521">
        <w:t>Šis</w:t>
      </w:r>
      <w:proofErr w:type="spellEnd"/>
      <w:r w:rsidRPr="00A10521">
        <w:t xml:space="preserve"> </w:t>
      </w:r>
      <w:proofErr w:type="spellStart"/>
      <w:r w:rsidRPr="00A10521">
        <w:t>projektas</w:t>
      </w:r>
      <w:proofErr w:type="spellEnd"/>
      <w:r w:rsidRPr="00A10521">
        <w:t xml:space="preserve"> </w:t>
      </w:r>
      <w:proofErr w:type="spellStart"/>
      <w:r w:rsidRPr="00A10521">
        <w:t>atitinka</w:t>
      </w:r>
      <w:proofErr w:type="spellEnd"/>
      <w:r w:rsidRPr="00A10521">
        <w:t xml:space="preserve"> </w:t>
      </w:r>
      <w:proofErr w:type="spellStart"/>
      <w:r w:rsidRPr="00A10521">
        <w:t>valstybės</w:t>
      </w:r>
      <w:proofErr w:type="spellEnd"/>
      <w:r w:rsidRPr="00A10521">
        <w:t xml:space="preserve"> nustatytus energetikos vystymo prioritetus, kuriuose numatoma skatinti energijos gamybą iš vietinių ir atsinaujinančių energijos išteklių bei energijos išteklių naudojimo efektyvumo didinimą.</w:t>
      </w:r>
      <w:proofErr w:type="gramEnd"/>
      <w:r w:rsidRPr="00A10521">
        <w:t xml:space="preserve"> Projekto metu buvo vykdomos įvairios veiklos: valdomas projektas, rengiama konkursinė dokumentacija, organizuojami konkursai projekto rengėjui, ekspertizės vykdytojui ir rangovui, paties projekto įgyvendinimas – katilo montavimas, techninė priežiūra, viešinimas.</w:t>
      </w:r>
    </w:p>
    <w:p w:rsidR="002F511D" w:rsidRPr="00A10521" w:rsidRDefault="002F511D" w:rsidP="00A10521">
      <w:pPr>
        <w:pStyle w:val="NormalWeb"/>
        <w:spacing w:before="0" w:beforeAutospacing="0" w:after="0" w:afterAutospacing="0" w:line="360" w:lineRule="auto"/>
        <w:jc w:val="center"/>
      </w:pPr>
      <w:r w:rsidRPr="00A10521">
        <w:rPr>
          <w:rStyle w:val="Strong"/>
          <w:caps/>
        </w:rPr>
        <w:t>Projekto tęstinumas</w:t>
      </w:r>
    </w:p>
    <w:p w:rsidR="002F511D" w:rsidRPr="00A10521" w:rsidRDefault="002F511D" w:rsidP="00A10521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A10521">
        <w:t>Fizinis veiklos tęstinumas bus užtikrinamas įmonės perso</w:t>
      </w:r>
      <w:r w:rsidR="006B3C14">
        <w:t>nalo, kuris eksploatuos įrengtą biokuro katilą</w:t>
      </w:r>
      <w:r w:rsidRPr="00A10521">
        <w:t>. Remonto ir įrangos atstatymo poreikis bus užtikrinamas įtraukiant į šilumos savi</w:t>
      </w:r>
      <w:r w:rsidR="002F3233" w:rsidRPr="00A10521">
        <w:t>kainą nusidėvėjimo sąnaudas</w:t>
      </w:r>
      <w:r w:rsidRPr="00A10521">
        <w:t>, numatant lėšas remontams ir priežiūrai. Centralizuotas šilumos tiekimas yra reguliuojama monopolija, kurios veikla yra reguliuojama nustatant šilumos kainą pagal pagrįstas sąnaudas. Todėl yra užtikrintas projekto tęstinumas ir finansiniu atžvilgiu.</w:t>
      </w:r>
    </w:p>
    <w:p w:rsidR="002F511D" w:rsidRPr="00A10521" w:rsidRDefault="002F511D" w:rsidP="00A10521">
      <w:pPr>
        <w:pStyle w:val="NormalWeb"/>
        <w:spacing w:before="0" w:beforeAutospacing="0" w:after="0" w:afterAutospacing="0" w:line="360" w:lineRule="auto"/>
        <w:jc w:val="center"/>
        <w:rPr>
          <w:rStyle w:val="Strong"/>
          <w:caps/>
        </w:rPr>
      </w:pPr>
      <w:r w:rsidRPr="00A10521">
        <w:rPr>
          <w:rStyle w:val="Strong"/>
          <w:caps/>
        </w:rPr>
        <w:t>Projekto finansavimas</w:t>
      </w:r>
    </w:p>
    <w:p w:rsidR="002F511D" w:rsidRPr="00A10521" w:rsidRDefault="002F511D" w:rsidP="00A10521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A10521">
        <w:t>Įgyvendinto projekto vertė – 1 973 588 Eur. 981 233 Eur arba 49,72 proc. projekto vertės sudaro Europos Sąjungos struktūrinė parama, kitą projekto vertės dalį sudaro UAB „Šalčininkų šilumos tinklai“ skolintos lėšos.</w:t>
      </w:r>
    </w:p>
    <w:p w:rsidR="002F511D" w:rsidRPr="00A10521" w:rsidRDefault="002F511D" w:rsidP="00A10521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A10521">
        <w:rPr>
          <w:b/>
        </w:rPr>
        <w:lastRenderedPageBreak/>
        <w:t>PROJEKTO NAUDA ŠILUMOS VARTOTOJAMS</w:t>
      </w:r>
    </w:p>
    <w:p w:rsidR="00C622A1" w:rsidRPr="00A10521" w:rsidRDefault="00C622A1" w:rsidP="00A105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21">
        <w:rPr>
          <w:rFonts w:ascii="Times New Roman" w:hAnsi="Times New Roman" w:cs="Times New Roman"/>
          <w:b/>
          <w:sz w:val="24"/>
          <w:szCs w:val="24"/>
        </w:rPr>
        <w:t>1 pav. Šilumos kainos,  kuro sąnaudų ir gamtinių dujų kainos dinamika 2006-2014 m.</w:t>
      </w:r>
    </w:p>
    <w:p w:rsidR="00C622A1" w:rsidRPr="00A10521" w:rsidRDefault="00C622A1" w:rsidP="00A10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21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34D0C3A" wp14:editId="0DDAD8E7">
            <wp:extent cx="5991225" cy="26193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22A1" w:rsidRPr="00A10521" w:rsidRDefault="00C622A1" w:rsidP="00A105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521">
        <w:rPr>
          <w:rFonts w:ascii="Times New Roman" w:hAnsi="Times New Roman" w:cs="Times New Roman"/>
          <w:sz w:val="24"/>
          <w:szCs w:val="24"/>
        </w:rPr>
        <w:t xml:space="preserve">Labiausiai šilumos energijos kainos svyravimus lemė gamtinių dujų kaina, nes bendrovės kuro balanse gamtinės dujos 2006-2014 metais  sudarė nuo 68 iki 69,9 proc. Pateiktame grafike parodyta akivaizdi šilumos kainos priklausomybė nuo gamtinių dujų kainos. </w:t>
      </w:r>
    </w:p>
    <w:p w:rsidR="00B35EEC" w:rsidRPr="00A10521" w:rsidRDefault="00B35EEC" w:rsidP="00A105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521">
        <w:rPr>
          <w:rFonts w:ascii="Times New Roman" w:hAnsi="Times New Roman" w:cs="Times New Roman"/>
          <w:sz w:val="24"/>
          <w:szCs w:val="24"/>
        </w:rPr>
        <w:t>Bazinės šilumos kainos galiojimo metu kuro struktūra gali būti keičiama, jeigu didėja kuro iš atsinaujinančių energijos šaltinių suvartojimas (Šilumos kainos nustatymo metodikos 75.2.1. punktas). Bendrovė</w:t>
      </w:r>
      <w:r w:rsidR="00705EB1" w:rsidRPr="00A10521">
        <w:rPr>
          <w:rFonts w:ascii="Times New Roman" w:hAnsi="Times New Roman" w:cs="Times New Roman"/>
          <w:sz w:val="24"/>
          <w:szCs w:val="24"/>
        </w:rPr>
        <w:t>s</w:t>
      </w:r>
      <w:r w:rsidRPr="00A10521">
        <w:rPr>
          <w:rFonts w:ascii="Times New Roman" w:hAnsi="Times New Roman" w:cs="Times New Roman"/>
          <w:sz w:val="24"/>
          <w:szCs w:val="24"/>
        </w:rPr>
        <w:t xml:space="preserve"> </w:t>
      </w:r>
      <w:r w:rsidR="00705EB1" w:rsidRPr="00A10521">
        <w:rPr>
          <w:rFonts w:ascii="Times New Roman" w:hAnsi="Times New Roman" w:cs="Times New Roman"/>
          <w:sz w:val="24"/>
          <w:szCs w:val="24"/>
        </w:rPr>
        <w:t>galiojusio</w:t>
      </w:r>
      <w:r w:rsidRPr="00A10521">
        <w:rPr>
          <w:rFonts w:ascii="Times New Roman" w:hAnsi="Times New Roman" w:cs="Times New Roman"/>
          <w:sz w:val="24"/>
          <w:szCs w:val="24"/>
        </w:rPr>
        <w:t>je šilumos kainoje biokuras sudarė 24,4 proc., gamtinės dujos – 69,9 proc. 2015 m. rugsėjo mėn. įvedus į eksplo</w:t>
      </w:r>
      <w:r w:rsidR="00517AE4">
        <w:rPr>
          <w:rFonts w:ascii="Times New Roman" w:hAnsi="Times New Roman" w:cs="Times New Roman"/>
          <w:sz w:val="24"/>
          <w:szCs w:val="24"/>
        </w:rPr>
        <w:t>ataciją Šalčininkų</w:t>
      </w:r>
      <w:r w:rsidRPr="00A10521">
        <w:rPr>
          <w:rFonts w:ascii="Times New Roman" w:hAnsi="Times New Roman" w:cs="Times New Roman"/>
          <w:sz w:val="24"/>
          <w:szCs w:val="24"/>
        </w:rPr>
        <w:t xml:space="preserve"> katilinėje 5 MW biokuro katilą, pritaikant kūrenti medienos kilmės biokurą, sumažėjo gamtinių dujų vartojimas</w:t>
      </w:r>
      <w:r w:rsidR="00705EB1" w:rsidRPr="00A10521">
        <w:rPr>
          <w:rFonts w:ascii="Times New Roman" w:hAnsi="Times New Roman" w:cs="Times New Roman"/>
          <w:sz w:val="24"/>
          <w:szCs w:val="24"/>
        </w:rPr>
        <w:t xml:space="preserve"> ir pakeista</w:t>
      </w:r>
      <w:r w:rsidRPr="00A10521">
        <w:rPr>
          <w:rFonts w:ascii="Times New Roman" w:hAnsi="Times New Roman" w:cs="Times New Roman"/>
          <w:sz w:val="24"/>
          <w:szCs w:val="24"/>
        </w:rPr>
        <w:t xml:space="preserve"> kuro struktūra, kurioje </w:t>
      </w:r>
      <w:r w:rsidR="00705EB1" w:rsidRPr="00A10521">
        <w:rPr>
          <w:rFonts w:ascii="Times New Roman" w:hAnsi="Times New Roman" w:cs="Times New Roman"/>
          <w:sz w:val="24"/>
          <w:szCs w:val="24"/>
        </w:rPr>
        <w:t>biokuras sudaro</w:t>
      </w:r>
      <w:r w:rsidRPr="00A10521">
        <w:rPr>
          <w:rFonts w:ascii="Times New Roman" w:hAnsi="Times New Roman" w:cs="Times New Roman"/>
          <w:sz w:val="24"/>
          <w:szCs w:val="24"/>
        </w:rPr>
        <w:t xml:space="preserve"> – 67,3 proc., gamtinės dujos – 27,0 proc., kitas kuras (skalūnų alyva ir akmens anglis) – 5,7 proc.</w:t>
      </w:r>
      <w:r w:rsidR="00705EB1" w:rsidRPr="00A10521">
        <w:rPr>
          <w:rFonts w:ascii="Times New Roman" w:hAnsi="Times New Roman" w:cs="Times New Roman"/>
          <w:sz w:val="24"/>
          <w:szCs w:val="24"/>
        </w:rPr>
        <w:t xml:space="preserve"> Šilumos kainos priklausomybę nuo šilumos gamybai naudojamo kuro struktūros pavaizduota 2 pav.</w:t>
      </w:r>
    </w:p>
    <w:p w:rsidR="002F511D" w:rsidRPr="00A10521" w:rsidRDefault="00705EB1" w:rsidP="00984E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521">
        <w:rPr>
          <w:rStyle w:val="Strong"/>
          <w:rFonts w:ascii="Times New Roman" w:hAnsi="Times New Roman" w:cs="Times New Roman"/>
          <w:sz w:val="24"/>
          <w:szCs w:val="24"/>
        </w:rPr>
        <w:t>2 pav. Šilumos kaina ir šilumos gamybai naudojamo kuro struktūra 2015 metais</w:t>
      </w:r>
      <w:r w:rsidR="00042C7C" w:rsidRPr="00A10521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01626AA" wp14:editId="4CD6263E">
            <wp:extent cx="5743575" cy="26955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5EB1" w:rsidRDefault="00705EB1" w:rsidP="00512D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0521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Pasikeitus kuro struktūrai 2015 m. gruodžio mėnesio šilumos kaina, palyginus su 2015 m. lapkričio mėn., sumažėjo 19,4 proc. </w:t>
      </w:r>
    </w:p>
    <w:p w:rsidR="00984E4F" w:rsidRDefault="00984E4F" w:rsidP="00512D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š.m. gruodžio mėn. šilumos energijos kainą Lietuvos mastu Bendrovė pakilo 16 pozicijų į viršų, palyginus su lapkričio mėn. </w:t>
      </w:r>
      <w:r w:rsidR="00D02590">
        <w:rPr>
          <w:rFonts w:ascii="Times New Roman" w:eastAsia="Times New Roman" w:hAnsi="Times New Roman" w:cs="Times New Roman"/>
          <w:sz w:val="24"/>
          <w:szCs w:val="24"/>
          <w:lang w:eastAsia="lt-LT"/>
        </w:rPr>
        <w:t>šilumos kaina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984E4F" w:rsidRPr="00984E4F" w:rsidRDefault="00984E4F" w:rsidP="00512D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  <w:r w:rsidRPr="00984E4F">
        <w:rPr>
          <w:rStyle w:val="Strong"/>
          <w:rFonts w:ascii="Times New Roman" w:hAnsi="Times New Roman" w:cs="Times New Roman"/>
          <w:sz w:val="24"/>
        </w:rPr>
        <w:t>3 pav. Šilumos kainos 2015 m. gruodžio mėn., ct/kWh su PVM</w:t>
      </w:r>
    </w:p>
    <w:p w:rsidR="00984E4F" w:rsidRPr="00A10521" w:rsidRDefault="00984E4F" w:rsidP="00984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6292611" cy="5553075"/>
            <wp:effectExtent l="0" t="0" r="0" b="0"/>
            <wp:docPr id="1" name="Picture 1" descr="http://www.regula.lt/SiteAssets/Puslapiai/naujienos/2015-metai/2015-12/2015-12-04/komisija-pateikia-gruodzio-menesio-silumos-kainu-lietuvoje-statistika/L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ula.lt/SiteAssets/Puslapiai/naujienos/2015-metai/2015-12/2015-12-04/komisija-pateikia-gruodzio-menesio-silumos-kainu-lietuvoje-statistika/LT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5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4F" w:rsidRDefault="00984E4F" w:rsidP="00512D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35EEC" w:rsidRPr="00A10521" w:rsidRDefault="00B35EEC" w:rsidP="00512D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05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Atkreiptinas dėmesys, kad biokuro katilas Centrinėje katilinėje  pradėtas eksploatuoti 2015 metų rugsėjo mėn. Todėl biokuro dalis kuro balanse nustatyta preliminari, atsižvelgiant į technines prielaidas, įskaitant biokatilo darbo rėžimą, instaliuotą galią, katilo NVK, esant skirtingam katilo apkrovimui. </w:t>
      </w:r>
    </w:p>
    <w:p w:rsidR="002F511D" w:rsidRPr="00A10521" w:rsidRDefault="002F511D" w:rsidP="00A10521">
      <w:pPr>
        <w:pStyle w:val="NormalWeb"/>
        <w:spacing w:before="0" w:beforeAutospacing="0" w:after="0" w:afterAutospacing="0" w:line="360" w:lineRule="auto"/>
        <w:jc w:val="both"/>
      </w:pPr>
    </w:p>
    <w:p w:rsidR="000A64A5" w:rsidRPr="00A10521" w:rsidRDefault="000A64A5" w:rsidP="00A10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64A5" w:rsidRPr="00A10521" w:rsidSect="00A10521">
      <w:footerReference w:type="default" r:id="rId11"/>
      <w:pgSz w:w="11906" w:h="16838"/>
      <w:pgMar w:top="1134" w:right="851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67" w:rsidRDefault="00211467" w:rsidP="00705EB1">
      <w:pPr>
        <w:spacing w:after="0" w:line="240" w:lineRule="auto"/>
      </w:pPr>
      <w:r>
        <w:separator/>
      </w:r>
    </w:p>
  </w:endnote>
  <w:endnote w:type="continuationSeparator" w:id="0">
    <w:p w:rsidR="00211467" w:rsidRDefault="00211467" w:rsidP="007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996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521" w:rsidRDefault="00A105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0521" w:rsidRDefault="00A10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67" w:rsidRDefault="00211467" w:rsidP="00705EB1">
      <w:pPr>
        <w:spacing w:after="0" w:line="240" w:lineRule="auto"/>
      </w:pPr>
      <w:r>
        <w:separator/>
      </w:r>
    </w:p>
  </w:footnote>
  <w:footnote w:type="continuationSeparator" w:id="0">
    <w:p w:rsidR="00211467" w:rsidRDefault="00211467" w:rsidP="00705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5F1"/>
    <w:multiLevelType w:val="hybridMultilevel"/>
    <w:tmpl w:val="D3DACD0E"/>
    <w:lvl w:ilvl="0" w:tplc="20B053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1D"/>
    <w:rsid w:val="00042C7C"/>
    <w:rsid w:val="000A64A5"/>
    <w:rsid w:val="00211467"/>
    <w:rsid w:val="002F3233"/>
    <w:rsid w:val="002F511D"/>
    <w:rsid w:val="00512D18"/>
    <w:rsid w:val="00517AE4"/>
    <w:rsid w:val="00667685"/>
    <w:rsid w:val="006B3C14"/>
    <w:rsid w:val="00705EB1"/>
    <w:rsid w:val="00745D0F"/>
    <w:rsid w:val="007468D4"/>
    <w:rsid w:val="00984E4F"/>
    <w:rsid w:val="00A10521"/>
    <w:rsid w:val="00B35EEC"/>
    <w:rsid w:val="00B6669F"/>
    <w:rsid w:val="00C22974"/>
    <w:rsid w:val="00C622A1"/>
    <w:rsid w:val="00D02590"/>
    <w:rsid w:val="00E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2F51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5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1"/>
  </w:style>
  <w:style w:type="paragraph" w:styleId="Footer">
    <w:name w:val="footer"/>
    <w:basedOn w:val="Normal"/>
    <w:link w:val="FooterChar"/>
    <w:uiPriority w:val="99"/>
    <w:unhideWhenUsed/>
    <w:rsid w:val="00705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2F51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5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1"/>
  </w:style>
  <w:style w:type="paragraph" w:styleId="Footer">
    <w:name w:val="footer"/>
    <w:basedOn w:val="Normal"/>
    <w:link w:val="FooterChar"/>
    <w:uiPriority w:val="99"/>
    <w:unhideWhenUsed/>
    <w:rsid w:val="00705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Šilumos kaina, ct/kwh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Sheet1!$A$2:$A$10</c:f>
              <c:strCache>
                <c:ptCount val="9"/>
                <c:pt idx="0">
                  <c:v>2006 m.</c:v>
                </c:pt>
                <c:pt idx="1">
                  <c:v>2007 m.</c:v>
                </c:pt>
                <c:pt idx="2">
                  <c:v>2008 m.</c:v>
                </c:pt>
                <c:pt idx="3">
                  <c:v>2009 m.</c:v>
                </c:pt>
                <c:pt idx="4">
                  <c:v>2010 m.</c:v>
                </c:pt>
                <c:pt idx="5">
                  <c:v>2011 m.</c:v>
                </c:pt>
                <c:pt idx="6">
                  <c:v>2012 m.</c:v>
                </c:pt>
                <c:pt idx="7">
                  <c:v>2013 m.</c:v>
                </c:pt>
                <c:pt idx="8">
                  <c:v>2014 m.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14.29</c:v>
                </c:pt>
                <c:pt idx="1">
                  <c:v>16.89</c:v>
                </c:pt>
                <c:pt idx="2">
                  <c:v>20.14</c:v>
                </c:pt>
                <c:pt idx="3">
                  <c:v>25.38</c:v>
                </c:pt>
                <c:pt idx="4">
                  <c:v>25.66</c:v>
                </c:pt>
                <c:pt idx="5">
                  <c:v>27.33</c:v>
                </c:pt>
                <c:pt idx="6">
                  <c:v>29.71</c:v>
                </c:pt>
                <c:pt idx="7">
                  <c:v>29.32</c:v>
                </c:pt>
                <c:pt idx="8">
                  <c:v>27.79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Kuro sąnaudos, ct/khw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Sheet1!$A$2:$A$10</c:f>
              <c:strCache>
                <c:ptCount val="9"/>
                <c:pt idx="0">
                  <c:v>2006 m.</c:v>
                </c:pt>
                <c:pt idx="1">
                  <c:v>2007 m.</c:v>
                </c:pt>
                <c:pt idx="2">
                  <c:v>2008 m.</c:v>
                </c:pt>
                <c:pt idx="3">
                  <c:v>2009 m.</c:v>
                </c:pt>
                <c:pt idx="4">
                  <c:v>2010 m.</c:v>
                </c:pt>
                <c:pt idx="5">
                  <c:v>2011 m.</c:v>
                </c:pt>
                <c:pt idx="6">
                  <c:v>2012 m.</c:v>
                </c:pt>
                <c:pt idx="7">
                  <c:v>2013 m.</c:v>
                </c:pt>
                <c:pt idx="8">
                  <c:v>2014 m.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6.78</c:v>
                </c:pt>
                <c:pt idx="1">
                  <c:v>9.5399999999999991</c:v>
                </c:pt>
                <c:pt idx="2">
                  <c:v>16.91</c:v>
                </c:pt>
                <c:pt idx="3">
                  <c:v>14.96</c:v>
                </c:pt>
                <c:pt idx="4">
                  <c:v>15.39</c:v>
                </c:pt>
                <c:pt idx="5">
                  <c:v>18.5</c:v>
                </c:pt>
                <c:pt idx="6">
                  <c:v>21.58</c:v>
                </c:pt>
                <c:pt idx="7">
                  <c:v>20.09</c:v>
                </c:pt>
                <c:pt idx="8">
                  <c:v>18.39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33856"/>
        <c:axId val="13183539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Gamtinių dujų kaina, Lt/tūks.m3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Sheet1!$A$2:$A$10</c:f>
              <c:strCache>
                <c:ptCount val="9"/>
                <c:pt idx="0">
                  <c:v>2006 m.</c:v>
                </c:pt>
                <c:pt idx="1">
                  <c:v>2007 m.</c:v>
                </c:pt>
                <c:pt idx="2">
                  <c:v>2008 m.</c:v>
                </c:pt>
                <c:pt idx="3">
                  <c:v>2009 m.</c:v>
                </c:pt>
                <c:pt idx="4">
                  <c:v>2010 m.</c:v>
                </c:pt>
                <c:pt idx="5">
                  <c:v>2011 m.</c:v>
                </c:pt>
                <c:pt idx="6">
                  <c:v>2012 m.</c:v>
                </c:pt>
                <c:pt idx="7">
                  <c:v>2013 m.</c:v>
                </c:pt>
                <c:pt idx="8">
                  <c:v>2014 m.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542.54</c:v>
                </c:pt>
                <c:pt idx="1">
                  <c:v>762.5</c:v>
                </c:pt>
                <c:pt idx="2">
                  <c:v>1260.92</c:v>
                </c:pt>
                <c:pt idx="3">
                  <c:v>1073.8800000000001</c:v>
                </c:pt>
                <c:pt idx="4">
                  <c:v>1134.1300000000001</c:v>
                </c:pt>
                <c:pt idx="5">
                  <c:v>1345.03</c:v>
                </c:pt>
                <c:pt idx="6">
                  <c:v>1593.13</c:v>
                </c:pt>
                <c:pt idx="7">
                  <c:v>1567.78</c:v>
                </c:pt>
                <c:pt idx="8">
                  <c:v>1419.55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838720"/>
        <c:axId val="131836928"/>
      </c:lineChart>
      <c:catAx>
        <c:axId val="131833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1835392"/>
        <c:crosses val="autoZero"/>
        <c:auto val="1"/>
        <c:lblAlgn val="ctr"/>
        <c:lblOffset val="100"/>
        <c:noMultiLvlLbl val="0"/>
      </c:catAx>
      <c:valAx>
        <c:axId val="13183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833856"/>
        <c:crosses val="autoZero"/>
        <c:crossBetween val="between"/>
      </c:valAx>
      <c:valAx>
        <c:axId val="131836928"/>
        <c:scaling>
          <c:orientation val="minMax"/>
          <c:max val="1600"/>
          <c:min val="0"/>
        </c:scaling>
        <c:delete val="0"/>
        <c:axPos val="r"/>
        <c:numFmt formatCode="General" sourceLinked="0"/>
        <c:majorTickMark val="out"/>
        <c:minorTickMark val="none"/>
        <c:tickLblPos val="nextTo"/>
        <c:crossAx val="131838720"/>
        <c:crosses val="max"/>
        <c:crossBetween val="between"/>
        <c:majorUnit val="200"/>
        <c:minorUnit val="100"/>
      </c:valAx>
      <c:catAx>
        <c:axId val="131838720"/>
        <c:scaling>
          <c:orientation val="minMax"/>
        </c:scaling>
        <c:delete val="1"/>
        <c:axPos val="b"/>
        <c:majorTickMark val="out"/>
        <c:minorTickMark val="none"/>
        <c:tickLblPos val="nextTo"/>
        <c:crossAx val="131836928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19963910761154"/>
          <c:y val="3.2152855893013373E-2"/>
          <c:w val="0.63376640419947505"/>
          <c:h val="0.79377702787151605"/>
        </c:manualLayout>
      </c:layout>
      <c:areaChart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gamtinės dujos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sausis</c:v>
                </c:pt>
                <c:pt idx="1">
                  <c:v>vasaris</c:v>
                </c:pt>
                <c:pt idx="2">
                  <c:v>kovas</c:v>
                </c:pt>
                <c:pt idx="3">
                  <c:v>balandis</c:v>
                </c:pt>
                <c:pt idx="4">
                  <c:v>gegužė</c:v>
                </c:pt>
                <c:pt idx="5">
                  <c:v>birželis</c:v>
                </c:pt>
                <c:pt idx="6">
                  <c:v>liepa</c:v>
                </c:pt>
                <c:pt idx="7">
                  <c:v>rugpjūtis</c:v>
                </c:pt>
                <c:pt idx="8">
                  <c:v>rugsėjis</c:v>
                </c:pt>
                <c:pt idx="9">
                  <c:v>spalis</c:v>
                </c:pt>
                <c:pt idx="10">
                  <c:v>lapkritis</c:v>
                </c:pt>
                <c:pt idx="11">
                  <c:v>gruodis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69.900000000000006</c:v>
                </c:pt>
                <c:pt idx="1">
                  <c:v>69.900000000000006</c:v>
                </c:pt>
                <c:pt idx="2">
                  <c:v>69.900000000000006</c:v>
                </c:pt>
                <c:pt idx="3">
                  <c:v>69.900000000000006</c:v>
                </c:pt>
                <c:pt idx="4">
                  <c:v>69.900000000000006</c:v>
                </c:pt>
                <c:pt idx="5">
                  <c:v>69.900000000000006</c:v>
                </c:pt>
                <c:pt idx="6">
                  <c:v>69.900000000000006</c:v>
                </c:pt>
                <c:pt idx="7">
                  <c:v>69.900000000000006</c:v>
                </c:pt>
                <c:pt idx="8">
                  <c:v>69.900000000000006</c:v>
                </c:pt>
                <c:pt idx="9">
                  <c:v>69.900000000000006</c:v>
                </c:pt>
                <c:pt idx="10">
                  <c:v>27</c:v>
                </c:pt>
                <c:pt idx="11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biokuras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cat>
            <c:strRef>
              <c:f>Sheet1!$A$2:$A$13</c:f>
              <c:strCache>
                <c:ptCount val="12"/>
                <c:pt idx="0">
                  <c:v>sausis</c:v>
                </c:pt>
                <c:pt idx="1">
                  <c:v>vasaris</c:v>
                </c:pt>
                <c:pt idx="2">
                  <c:v>kovas</c:v>
                </c:pt>
                <c:pt idx="3">
                  <c:v>balandis</c:v>
                </c:pt>
                <c:pt idx="4">
                  <c:v>gegužė</c:v>
                </c:pt>
                <c:pt idx="5">
                  <c:v>birželis</c:v>
                </c:pt>
                <c:pt idx="6">
                  <c:v>liepa</c:v>
                </c:pt>
                <c:pt idx="7">
                  <c:v>rugpjūtis</c:v>
                </c:pt>
                <c:pt idx="8">
                  <c:v>rugsėjis</c:v>
                </c:pt>
                <c:pt idx="9">
                  <c:v>spalis</c:v>
                </c:pt>
                <c:pt idx="10">
                  <c:v>lapkritis</c:v>
                </c:pt>
                <c:pt idx="11">
                  <c:v>gruodis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17.7</c:v>
                </c:pt>
                <c:pt idx="1">
                  <c:v>17.7</c:v>
                </c:pt>
                <c:pt idx="2">
                  <c:v>17.7</c:v>
                </c:pt>
                <c:pt idx="3">
                  <c:v>17.7</c:v>
                </c:pt>
                <c:pt idx="4">
                  <c:v>17.7</c:v>
                </c:pt>
                <c:pt idx="5">
                  <c:v>17.7</c:v>
                </c:pt>
                <c:pt idx="6">
                  <c:v>17.7</c:v>
                </c:pt>
                <c:pt idx="7">
                  <c:v>17.7</c:v>
                </c:pt>
                <c:pt idx="8">
                  <c:v>17.7</c:v>
                </c:pt>
                <c:pt idx="9">
                  <c:v>17.7</c:v>
                </c:pt>
                <c:pt idx="10">
                  <c:v>60.6</c:v>
                </c:pt>
                <c:pt idx="11">
                  <c:v>60.6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malkinė mediena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sausis</c:v>
                </c:pt>
                <c:pt idx="1">
                  <c:v>vasaris</c:v>
                </c:pt>
                <c:pt idx="2">
                  <c:v>kovas</c:v>
                </c:pt>
                <c:pt idx="3">
                  <c:v>balandis</c:v>
                </c:pt>
                <c:pt idx="4">
                  <c:v>gegužė</c:v>
                </c:pt>
                <c:pt idx="5">
                  <c:v>birželis</c:v>
                </c:pt>
                <c:pt idx="6">
                  <c:v>liepa</c:v>
                </c:pt>
                <c:pt idx="7">
                  <c:v>rugpjūtis</c:v>
                </c:pt>
                <c:pt idx="8">
                  <c:v>rugsėjis</c:v>
                </c:pt>
                <c:pt idx="9">
                  <c:v>spalis</c:v>
                </c:pt>
                <c:pt idx="10">
                  <c:v>lapkritis</c:v>
                </c:pt>
                <c:pt idx="11">
                  <c:v>gruodis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6.7</c:v>
                </c:pt>
                <c:pt idx="1">
                  <c:v>6.7</c:v>
                </c:pt>
                <c:pt idx="2">
                  <c:v>6.7</c:v>
                </c:pt>
                <c:pt idx="3">
                  <c:v>6.7</c:v>
                </c:pt>
                <c:pt idx="4">
                  <c:v>6.7</c:v>
                </c:pt>
                <c:pt idx="5">
                  <c:v>6.7</c:v>
                </c:pt>
                <c:pt idx="6">
                  <c:v>6.7</c:v>
                </c:pt>
                <c:pt idx="7">
                  <c:v>6.7</c:v>
                </c:pt>
                <c:pt idx="8">
                  <c:v>6.7</c:v>
                </c:pt>
                <c:pt idx="9">
                  <c:v>6.7</c:v>
                </c:pt>
                <c:pt idx="10">
                  <c:v>6.7</c:v>
                </c:pt>
                <c:pt idx="11">
                  <c:v>6.7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skalūnų alyva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sausis</c:v>
                </c:pt>
                <c:pt idx="1">
                  <c:v>vasaris</c:v>
                </c:pt>
                <c:pt idx="2">
                  <c:v>kovas</c:v>
                </c:pt>
                <c:pt idx="3">
                  <c:v>balandis</c:v>
                </c:pt>
                <c:pt idx="4">
                  <c:v>gegužė</c:v>
                </c:pt>
                <c:pt idx="5">
                  <c:v>birželis</c:v>
                </c:pt>
                <c:pt idx="6">
                  <c:v>liepa</c:v>
                </c:pt>
                <c:pt idx="7">
                  <c:v>rugpjūtis</c:v>
                </c:pt>
                <c:pt idx="8">
                  <c:v>rugsėjis</c:v>
                </c:pt>
                <c:pt idx="9">
                  <c:v>spalis</c:v>
                </c:pt>
                <c:pt idx="10">
                  <c:v>lapkritis</c:v>
                </c:pt>
                <c:pt idx="11">
                  <c:v>gruodis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4.7</c:v>
                </c:pt>
                <c:pt idx="1">
                  <c:v>4.7</c:v>
                </c:pt>
                <c:pt idx="2">
                  <c:v>4.7</c:v>
                </c:pt>
                <c:pt idx="3">
                  <c:v>4.7</c:v>
                </c:pt>
                <c:pt idx="4">
                  <c:v>4.7</c:v>
                </c:pt>
                <c:pt idx="5">
                  <c:v>4.7</c:v>
                </c:pt>
                <c:pt idx="6">
                  <c:v>4.7</c:v>
                </c:pt>
                <c:pt idx="7">
                  <c:v>4.7</c:v>
                </c:pt>
                <c:pt idx="8">
                  <c:v>4.7</c:v>
                </c:pt>
                <c:pt idx="9">
                  <c:v>4.7</c:v>
                </c:pt>
                <c:pt idx="10">
                  <c:v>4.7</c:v>
                </c:pt>
                <c:pt idx="11">
                  <c:v>4.7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akmens anglis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sausis</c:v>
                </c:pt>
                <c:pt idx="1">
                  <c:v>vasaris</c:v>
                </c:pt>
                <c:pt idx="2">
                  <c:v>kovas</c:v>
                </c:pt>
                <c:pt idx="3">
                  <c:v>balandis</c:v>
                </c:pt>
                <c:pt idx="4">
                  <c:v>gegužė</c:v>
                </c:pt>
                <c:pt idx="5">
                  <c:v>birželis</c:v>
                </c:pt>
                <c:pt idx="6">
                  <c:v>liepa</c:v>
                </c:pt>
                <c:pt idx="7">
                  <c:v>rugpjūtis</c:v>
                </c:pt>
                <c:pt idx="8">
                  <c:v>rugsėjis</c:v>
                </c:pt>
                <c:pt idx="9">
                  <c:v>spalis</c:v>
                </c:pt>
                <c:pt idx="10">
                  <c:v>lapkritis</c:v>
                </c:pt>
                <c:pt idx="11">
                  <c:v>gruodis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721792"/>
        <c:axId val="80723328"/>
      </c:areaChart>
      <c:lineChart>
        <c:grouping val="standard"/>
        <c:varyColors val="0"/>
        <c:ser>
          <c:idx val="5"/>
          <c:order val="5"/>
          <c:tx>
            <c:strRef>
              <c:f>Sheet1!$G$1</c:f>
              <c:strCache>
                <c:ptCount val="1"/>
                <c:pt idx="0">
                  <c:v>šilumos kaina, ct/kwh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sausis</c:v>
                </c:pt>
                <c:pt idx="1">
                  <c:v>vasaris</c:v>
                </c:pt>
                <c:pt idx="2">
                  <c:v>kovas</c:v>
                </c:pt>
                <c:pt idx="3">
                  <c:v>balandis</c:v>
                </c:pt>
                <c:pt idx="4">
                  <c:v>gegužė</c:v>
                </c:pt>
                <c:pt idx="5">
                  <c:v>birželis</c:v>
                </c:pt>
                <c:pt idx="6">
                  <c:v>liepa</c:v>
                </c:pt>
                <c:pt idx="7">
                  <c:v>rugpjūtis</c:v>
                </c:pt>
                <c:pt idx="8">
                  <c:v>rugsėjis</c:v>
                </c:pt>
                <c:pt idx="9">
                  <c:v>spalis</c:v>
                </c:pt>
                <c:pt idx="10">
                  <c:v>lapkritis</c:v>
                </c:pt>
                <c:pt idx="11">
                  <c:v>gruodis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7.81</c:v>
                </c:pt>
                <c:pt idx="1">
                  <c:v>7.68</c:v>
                </c:pt>
                <c:pt idx="2">
                  <c:v>8.1199999999999992</c:v>
                </c:pt>
                <c:pt idx="3">
                  <c:v>7.8</c:v>
                </c:pt>
                <c:pt idx="4">
                  <c:v>7.95</c:v>
                </c:pt>
                <c:pt idx="5">
                  <c:v>7.95</c:v>
                </c:pt>
                <c:pt idx="6">
                  <c:v>8.2899999999999991</c:v>
                </c:pt>
                <c:pt idx="7">
                  <c:v>8.41</c:v>
                </c:pt>
                <c:pt idx="8">
                  <c:v>8.3800000000000008</c:v>
                </c:pt>
                <c:pt idx="9">
                  <c:v>8.36</c:v>
                </c:pt>
                <c:pt idx="10">
                  <c:v>8.34</c:v>
                </c:pt>
                <c:pt idx="11">
                  <c:v>6.72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807872"/>
        <c:axId val="131806336"/>
      </c:lineChart>
      <c:catAx>
        <c:axId val="8072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80723328"/>
        <c:crosses val="autoZero"/>
        <c:auto val="1"/>
        <c:lblAlgn val="ctr"/>
        <c:lblOffset val="100"/>
        <c:noMultiLvlLbl val="0"/>
      </c:catAx>
      <c:valAx>
        <c:axId val="80723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0721792"/>
        <c:crosses val="autoZero"/>
        <c:crossBetween val="between"/>
      </c:valAx>
      <c:valAx>
        <c:axId val="131806336"/>
        <c:scaling>
          <c:orientation val="minMax"/>
          <c:min val="5"/>
        </c:scaling>
        <c:delete val="0"/>
        <c:axPos val="r"/>
        <c:numFmt formatCode="General" sourceLinked="1"/>
        <c:majorTickMark val="out"/>
        <c:minorTickMark val="none"/>
        <c:tickLblPos val="nextTo"/>
        <c:crossAx val="131807872"/>
        <c:crosses val="max"/>
        <c:crossBetween val="between"/>
      </c:valAx>
      <c:catAx>
        <c:axId val="131807872"/>
        <c:scaling>
          <c:orientation val="minMax"/>
        </c:scaling>
        <c:delete val="1"/>
        <c:axPos val="b"/>
        <c:majorTickMark val="out"/>
        <c:minorTickMark val="none"/>
        <c:tickLblPos val="nextTo"/>
        <c:crossAx val="13180633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81401525590551183"/>
          <c:y val="0.14583833270841146"/>
          <c:w val="0.17209596456692913"/>
          <c:h val="0.716259842519685"/>
        </c:manualLayout>
      </c:layout>
      <c:overlay val="1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2915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2015-12-10T12:24:00Z</cp:lastPrinted>
  <dcterms:created xsi:type="dcterms:W3CDTF">2015-12-18T06:43:00Z</dcterms:created>
  <dcterms:modified xsi:type="dcterms:W3CDTF">2015-12-18T06:43:00Z</dcterms:modified>
</cp:coreProperties>
</file>