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DF" w:rsidRDefault="00736CC6" w:rsidP="00736CC6">
      <w:pPr>
        <w:spacing w:after="0" w:line="240" w:lineRule="auto"/>
      </w:pPr>
      <w:r>
        <w:t>AB „Kauno energija“ informacija</w:t>
      </w:r>
    </w:p>
    <w:p w:rsidR="00736CC6" w:rsidRDefault="00736CC6" w:rsidP="00736CC6">
      <w:pPr>
        <w:spacing w:after="0" w:line="240" w:lineRule="auto"/>
      </w:pPr>
      <w:r>
        <w:t>2018-0</w:t>
      </w:r>
      <w:r w:rsidR="00FA70DB">
        <w:t>9</w:t>
      </w:r>
      <w:r>
        <w:t>-</w:t>
      </w:r>
      <w:r w:rsidR="008B34A3">
        <w:t>20</w:t>
      </w:r>
    </w:p>
    <w:p w:rsidR="00736CC6" w:rsidRDefault="00736CC6" w:rsidP="00736CC6">
      <w:pPr>
        <w:spacing w:after="0" w:line="240" w:lineRule="auto"/>
      </w:pPr>
      <w:r>
        <w:t>Kaunas</w:t>
      </w:r>
    </w:p>
    <w:p w:rsidR="00736CC6" w:rsidRDefault="00736CC6" w:rsidP="00736CC6">
      <w:pPr>
        <w:spacing w:after="0" w:line="240" w:lineRule="auto"/>
      </w:pPr>
    </w:p>
    <w:p w:rsidR="00736CC6" w:rsidRPr="00727A6A" w:rsidRDefault="00FA70DB" w:rsidP="00727A6A">
      <w:pPr>
        <w:spacing w:after="0" w:line="240" w:lineRule="auto"/>
        <w:jc w:val="center"/>
        <w:rPr>
          <w:b/>
        </w:rPr>
      </w:pPr>
      <w:r>
        <w:rPr>
          <w:b/>
        </w:rPr>
        <w:t xml:space="preserve">Uždirbta investicijų grąža </w:t>
      </w:r>
      <w:r w:rsidR="004F77F0">
        <w:rPr>
          <w:b/>
        </w:rPr>
        <w:t>AB „Kauno energija“</w:t>
      </w:r>
      <w:r w:rsidR="00991A6F">
        <w:rPr>
          <w:b/>
        </w:rPr>
        <w:t xml:space="preserve"> </w:t>
      </w:r>
      <w:r>
        <w:rPr>
          <w:b/>
        </w:rPr>
        <w:t>dalinsis su va</w:t>
      </w:r>
      <w:r w:rsidR="007743E9">
        <w:rPr>
          <w:b/>
        </w:rPr>
        <w:t>rtotoja</w:t>
      </w:r>
      <w:r>
        <w:rPr>
          <w:b/>
        </w:rPr>
        <w:t>i</w:t>
      </w:r>
      <w:r w:rsidR="007743E9">
        <w:rPr>
          <w:b/>
        </w:rPr>
        <w:t>s</w:t>
      </w:r>
    </w:p>
    <w:p w:rsidR="00FA70DB" w:rsidRPr="00FA70DB" w:rsidRDefault="00FA70DB" w:rsidP="00FA70DB">
      <w:pPr>
        <w:spacing w:after="0" w:line="240" w:lineRule="auto"/>
        <w:jc w:val="both"/>
      </w:pPr>
    </w:p>
    <w:p w:rsidR="00FA70DB" w:rsidRPr="00FA70DB" w:rsidRDefault="00FA70DB" w:rsidP="00FA70DB">
      <w:pPr>
        <w:spacing w:after="0" w:line="240" w:lineRule="auto"/>
        <w:jc w:val="both"/>
        <w:rPr>
          <w:b/>
        </w:rPr>
      </w:pPr>
      <w:r w:rsidRPr="00FA70DB">
        <w:rPr>
          <w:b/>
        </w:rPr>
        <w:t xml:space="preserve">Š. m. rugsėjo 13 d. Valstybinė kainų ir energetikos kontrolės komisija </w:t>
      </w:r>
      <w:r>
        <w:rPr>
          <w:b/>
        </w:rPr>
        <w:t xml:space="preserve">(toliau – Komisija) </w:t>
      </w:r>
      <w:r w:rsidRPr="00FA70DB">
        <w:rPr>
          <w:b/>
        </w:rPr>
        <w:t>nustatė AB „Kauno energija“ bazinę šilumos kainą naujam 3 metų reguliavimo periodui – 4,17 ct/kWh (be PVM), t. y. 8,3 proc. mažesnę, palyginus su dabar galiojančia (4,55 ct/kWh be PVM).</w:t>
      </w:r>
    </w:p>
    <w:p w:rsidR="00FA70DB" w:rsidRDefault="00FA70DB" w:rsidP="00FA70DB">
      <w:pPr>
        <w:spacing w:after="0" w:line="240" w:lineRule="auto"/>
        <w:jc w:val="both"/>
      </w:pPr>
    </w:p>
    <w:p w:rsidR="00A07C64" w:rsidRDefault="00A07C64" w:rsidP="00A07C64">
      <w:pPr>
        <w:spacing w:after="0" w:line="240" w:lineRule="auto"/>
        <w:jc w:val="both"/>
      </w:pPr>
      <w:r>
        <w:t>Konstatuota, kad dėl sėkmingos bendrovės veiklos ankstesniais laikotarpiais, buvo sutaupyta papildomai 14 mln. 602 tūkst. pajamų, kurios bus kompensuotos vartotojams mažinant šilumos kainą ateities laikotarpiais. Tai leis amortizuoti gamtinių dujų ir biokuro brangimą bei užtikrins vartotojams konkurencingas šilumos kainas. "Kauno energijos" kaina jau dabar yra viena iš mažiausių Lietuvoje tarp visų šilumos tiekėjų.</w:t>
      </w:r>
    </w:p>
    <w:p w:rsidR="00A07C64" w:rsidRPr="00E01CA2" w:rsidRDefault="00A07C64" w:rsidP="00A07C64">
      <w:pPr>
        <w:spacing w:after="0" w:line="240" w:lineRule="auto"/>
        <w:jc w:val="both"/>
        <w:rPr>
          <w:lang w:val="en-GB"/>
        </w:rPr>
      </w:pPr>
    </w:p>
    <w:p w:rsidR="008B34A3" w:rsidRDefault="00A07C64" w:rsidP="008B34A3">
      <w:pPr>
        <w:spacing w:after="0" w:line="240" w:lineRule="auto"/>
        <w:jc w:val="both"/>
      </w:pPr>
      <w:r>
        <w:t>Numatomas bazinės kainos sumažėjimas ir daugiau, nei 14 mln. eurų grąžinimas kauniečiams – tai AB „Kauno energija“ per pastaruosius ketverius metus įvykdytų investicijų ir pasiekto geresnio veiklos efektyvumo bei rinkos plėtros rezultatas.</w:t>
      </w:r>
      <w:r w:rsidR="008B34A3" w:rsidRPr="008B34A3">
        <w:t xml:space="preserve"> </w:t>
      </w:r>
      <w:r w:rsidR="008B34A3">
        <w:t>Faktiškai, tai, kad AB „Kauno energija“ papildomai gavo 14,6 mln. eurų pajamų, reiškia, kad įmonė daug ir efektyviai investavo bei sukūrė ilgalaikę stabilią vertę, kuria dabar dalinsis su paslaugos vartotojais.</w:t>
      </w:r>
    </w:p>
    <w:p w:rsidR="00A07C64" w:rsidRDefault="00A07C64" w:rsidP="00A07C64">
      <w:pPr>
        <w:spacing w:after="0" w:line="240" w:lineRule="auto"/>
        <w:jc w:val="both"/>
      </w:pPr>
    </w:p>
    <w:p w:rsidR="00A07C64" w:rsidRDefault="00A07C64" w:rsidP="00A07C64">
      <w:pPr>
        <w:spacing w:after="0" w:line="240" w:lineRule="auto"/>
        <w:jc w:val="both"/>
      </w:pPr>
      <w:r>
        <w:t>Kaip teisingai pastebima Komisijos pranešime, 2013–2017 m. AB „Kauno energija“ į šilumos ūkį investavo daugiau nei 52,2 mln. Eur, iš jų beveik  8,9 mln. Eur. – ES struktūrinių fondų parama. Didžiausios investicijos atliktos rekonstruojant šilumos tiekimo tinklus ir didinant atsinaujinančių energijos išteklių dalį kuro struktūroje. Petrašiūnų katilinėje dujomis ir mazutu kūrenamas garo katilas buvo pakeistas dviem vandens šildymo katilais, kūrenamais biokuru, „Šilko“ katilinėje įrengtas biokuru kūrenamas vandens šildymo katilas su kondensaciniu ekonomaizeriu, rekonstruota „Inkaro“ katilinė ir kt. 2018–2020 m. bendrovė planuoja įgyvendinti investicijų dar už 16,5 mln. Eur, iš kurių beveik 10 mln. Eur sumą ketinama skirti šilumos tiekimo tinklams rekonstruoti.</w:t>
      </w:r>
    </w:p>
    <w:p w:rsidR="00A07C64" w:rsidRDefault="00A07C64" w:rsidP="00A07C64">
      <w:pPr>
        <w:spacing w:after="0" w:line="240" w:lineRule="auto"/>
        <w:jc w:val="both"/>
      </w:pPr>
    </w:p>
    <w:p w:rsidR="008B34A3" w:rsidRDefault="008B34A3" w:rsidP="008B34A3">
      <w:pPr>
        <w:spacing w:after="0" w:line="240" w:lineRule="auto"/>
        <w:jc w:val="both"/>
      </w:pPr>
      <w:r>
        <w:t>Lietuvoje energetikos monopolijų reguliavimui, kaip ir visame civilizuotame pasaulyje, taikoma skatinamoji kainodara, kurios esmė – dalies sąnaudų „užšaldymas“ vienam reguliaciniam laikotarpiui (3</w:t>
      </w:r>
      <w:r>
        <w:t>–</w:t>
      </w:r>
      <w:r>
        <w:t>5 metams). Jeigu įmonė efektyvina veiklą, daro prasmingas investicijas ir kitaip mažina sąnaudas, tai skirtumas tarp pajamų ir sąnaudų reguliacinio laikotarpio pabaigoje turi būti kuo didesnis. O jau nuo kito reguliacinio laikotarpio šis sutaupymas visam laikui „perduodamas“ vartotojams – t.</w:t>
      </w:r>
      <w:r>
        <w:t xml:space="preserve"> </w:t>
      </w:r>
      <w:r>
        <w:t>y. šiuo dydžiu mažinamos energijos kainos, o pagerinti rodikliai bus visada naudojami formuojant būsimas reguliuojamas šilumos kainas. Tai yra klasikinė monopolijų reguliavimo kainodara, kuri suderina įmonės ir vartotojų ekonominius interesus.</w:t>
      </w:r>
    </w:p>
    <w:p w:rsidR="008B34A3" w:rsidRDefault="008B34A3" w:rsidP="008B34A3">
      <w:pPr>
        <w:spacing w:after="0" w:line="240" w:lineRule="auto"/>
        <w:jc w:val="both"/>
      </w:pPr>
    </w:p>
    <w:p w:rsidR="008B34A3" w:rsidRDefault="008B34A3" w:rsidP="008B34A3">
      <w:pPr>
        <w:spacing w:after="0" w:line="240" w:lineRule="auto"/>
        <w:jc w:val="both"/>
      </w:pPr>
      <w:r>
        <w:t>Taip skatinamos energetikos ir kitų tipų infrastruktūrinės monopolijos aktyviau ir efektyviau dirbti, užsidirbti sau trumpalaikį „pelną“ ir sukurti ilgalaikę stabilią vertę paslaugos vartotojams. Taigi, jeigu reguliacinio laikotarpio pabaigoje yra ką dalintis su vartotojais, reiškia reguliuojama monopolija gerai dirbo ir sukūrė didelę pridėtinę vertę, kurią dabar jau galima perduoti vartotojams.</w:t>
      </w:r>
    </w:p>
    <w:p w:rsidR="008B34A3" w:rsidRDefault="008B34A3" w:rsidP="008B34A3">
      <w:pPr>
        <w:spacing w:after="0" w:line="240" w:lineRule="auto"/>
        <w:jc w:val="both"/>
      </w:pPr>
    </w:p>
    <w:p w:rsidR="008B34A3" w:rsidRDefault="008B34A3" w:rsidP="008B34A3">
      <w:pPr>
        <w:spacing w:after="0" w:line="240" w:lineRule="auto"/>
        <w:jc w:val="both"/>
      </w:pPr>
      <w:r>
        <w:t>Ir priešingai, jeigu įmonė pabaigoje neturi ką perduoti vartotojams, reiškia, galimai nelabai kas pasikeitė jos ūkyje. Tokia kainodara taikoma Lietuvos ir kitų šalių tiek šilumos ūkyje, tiek elektros, tiek dujų tinklų kainodaroje ir panašiai.</w:t>
      </w:r>
    </w:p>
    <w:p w:rsidR="008B34A3" w:rsidRDefault="008B34A3" w:rsidP="008B34A3">
      <w:pPr>
        <w:spacing w:after="0" w:line="240" w:lineRule="auto"/>
        <w:jc w:val="both"/>
      </w:pPr>
    </w:p>
    <w:p w:rsidR="008B34A3" w:rsidRDefault="008B34A3" w:rsidP="008B34A3">
      <w:pPr>
        <w:spacing w:after="0" w:line="240" w:lineRule="auto"/>
        <w:jc w:val="both"/>
      </w:pPr>
      <w:r>
        <w:t>Tokios kainodaros tikslas - ekonominiais pagrindais skatinti monopolines įmones aktyviai dirbti, keisti technologijas ir kitaip mažinti sąnaudas, tačiau joms reikia duoti laiko pasiekti rezultatus. Tam ir naudojami reguliaciniai laikotarpiai, kad įmonės suspėtų įgyvendinti ilgalaikius investicinius projektus, optimizuotų veiklą ir parodytų realius rezultatus</w:t>
      </w:r>
      <w:r w:rsidR="00157661">
        <w:t>.</w:t>
      </w:r>
    </w:p>
    <w:p w:rsidR="008B34A3" w:rsidRDefault="008B34A3" w:rsidP="008B34A3">
      <w:pPr>
        <w:spacing w:after="0" w:line="240" w:lineRule="auto"/>
        <w:jc w:val="both"/>
      </w:pPr>
    </w:p>
    <w:p w:rsidR="008B34A3" w:rsidRDefault="00157661" w:rsidP="008B34A3">
      <w:pPr>
        <w:spacing w:after="0" w:line="240" w:lineRule="auto"/>
        <w:jc w:val="both"/>
      </w:pPr>
      <w:r>
        <w:t>S</w:t>
      </w:r>
      <w:r w:rsidR="008B34A3">
        <w:t>katinamoji kainodara yra optimalus monopolijų reguliavimo instrumentas, kuris gerai veikia civilizuotos ekonomikos šalyse</w:t>
      </w:r>
      <w:r>
        <w:t xml:space="preserve"> </w:t>
      </w:r>
      <w:r w:rsidR="008B34A3">
        <w:t>ir Lietuvoje.</w:t>
      </w:r>
    </w:p>
    <w:p w:rsidR="008B34A3" w:rsidRDefault="008B34A3" w:rsidP="008B34A3">
      <w:pPr>
        <w:spacing w:after="0" w:line="240" w:lineRule="auto"/>
        <w:jc w:val="both"/>
      </w:pPr>
    </w:p>
    <w:p w:rsidR="00157661" w:rsidRDefault="00157661" w:rsidP="008B34A3">
      <w:pPr>
        <w:spacing w:after="0" w:line="240" w:lineRule="auto"/>
        <w:jc w:val="both"/>
      </w:pPr>
      <w:r>
        <w:t xml:space="preserve">VKEKK </w:t>
      </w:r>
      <w:r w:rsidR="008B34A3">
        <w:t>pažym</w:t>
      </w:r>
      <w:r>
        <w:t>oje nurodoma</w:t>
      </w:r>
      <w:r w:rsidR="008B34A3">
        <w:t xml:space="preserve">, kad </w:t>
      </w:r>
      <w:r>
        <w:t xml:space="preserve">AB „Kauno energija“ </w:t>
      </w:r>
      <w:r w:rsidR="008B34A3">
        <w:t>per praėjusį reguliacinį laikotarpį investavo virš 52 mln. EUR. Tai yra ypatingai didelės apimties investicijos Lietuvos šilumos ūkyje</w:t>
      </w:r>
      <w:r>
        <w:t>.</w:t>
      </w:r>
      <w:r w:rsidR="008B34A3">
        <w:t xml:space="preserve"> </w:t>
      </w:r>
      <w:r>
        <w:t>D</w:t>
      </w:r>
      <w:r w:rsidR="008B34A3">
        <w:t>augybė įgyvendintų projektų, kuriuos reikėjo ne tik sugalvoti, bet ir įgyvendinti.</w:t>
      </w:r>
      <w:r>
        <w:t xml:space="preserve"> </w:t>
      </w:r>
      <w:r w:rsidR="008B34A3">
        <w:t xml:space="preserve">Kaune </w:t>
      </w:r>
      <w:r>
        <w:t xml:space="preserve">pritraukta </w:t>
      </w:r>
      <w:r w:rsidR="008B34A3">
        <w:t>daugiausiai Lietuvoje ES paramos.</w:t>
      </w:r>
    </w:p>
    <w:p w:rsidR="00157661" w:rsidRDefault="00157661" w:rsidP="008B34A3">
      <w:pPr>
        <w:spacing w:after="0" w:line="240" w:lineRule="auto"/>
        <w:jc w:val="both"/>
      </w:pPr>
    </w:p>
    <w:p w:rsidR="00157661" w:rsidRDefault="008B34A3" w:rsidP="008B34A3">
      <w:pPr>
        <w:spacing w:after="0" w:line="240" w:lineRule="auto"/>
        <w:jc w:val="both"/>
      </w:pPr>
      <w:r>
        <w:t xml:space="preserve">Aktyviai modernizuodama katilų parką ir diegdama biokurą, AB „Kauno energija“ privertė savo konkurentus – nepriklausomus šilumos gamintojus – nuolat mažinti parduodamos šilumos kainas ir neleido jiems mėgautis dideliais pelnais. Intensyviai buvo atnaujinami vamzdynai, mažinami šilumos perdavimo nuostoliai ir t.t. Visa tai lėmė </w:t>
      </w:r>
      <w:r w:rsidR="00157661">
        <w:t xml:space="preserve">reikšmingą </w:t>
      </w:r>
      <w:r>
        <w:t>sąnaudų sumažėjimą.</w:t>
      </w:r>
    </w:p>
    <w:p w:rsidR="00157661" w:rsidRDefault="00157661" w:rsidP="008B34A3">
      <w:pPr>
        <w:spacing w:after="0" w:line="240" w:lineRule="auto"/>
        <w:jc w:val="both"/>
      </w:pPr>
    </w:p>
    <w:p w:rsidR="008B34A3" w:rsidRDefault="008B34A3" w:rsidP="008B34A3">
      <w:pPr>
        <w:spacing w:after="0" w:line="240" w:lineRule="auto"/>
        <w:jc w:val="both"/>
      </w:pPr>
      <w:r>
        <w:t>Keičiantis įrenginiams, technologijoms, kuro rūšims ir t.</w:t>
      </w:r>
      <w:r w:rsidR="00157661">
        <w:t xml:space="preserve"> </w:t>
      </w:r>
      <w:r>
        <w:t xml:space="preserve">t., keičiasi </w:t>
      </w:r>
      <w:r w:rsidR="00157661">
        <w:t xml:space="preserve">ir </w:t>
      </w:r>
      <w:r>
        <w:t>daugelis techninių rodiklių, tačiau jų ekonominis efektyvumas paaiškėja tik per ilgesnį laiką, o t</w:t>
      </w:r>
      <w:r w:rsidR="00157661">
        <w:t>am</w:t>
      </w:r>
      <w:r>
        <w:t xml:space="preserve"> įvertin</w:t>
      </w:r>
      <w:r w:rsidR="00157661">
        <w:t>t</w:t>
      </w:r>
      <w:r>
        <w:t>i ir skirtas reguliacinis laikotarpis. Bendrovė praėjusiu laikotarpiu ne tik atnaujino savo ūkį, bet geru trečdaliu sumažino šilumos kainas iki vienų mažiausių šalyje i</w:t>
      </w:r>
      <w:r w:rsidR="00157661">
        <w:t>r sukūrė</w:t>
      </w:r>
      <w:r>
        <w:t xml:space="preserve"> </w:t>
      </w:r>
      <w:r w:rsidR="00157661">
        <w:t>ger</w:t>
      </w:r>
      <w:r w:rsidR="00157661">
        <w:t>ą</w:t>
      </w:r>
      <w:r w:rsidR="00157661">
        <w:t xml:space="preserve"> technologin</w:t>
      </w:r>
      <w:r w:rsidR="00157661">
        <w:t>į</w:t>
      </w:r>
      <w:r w:rsidR="00157661">
        <w:t xml:space="preserve"> ir ekonomin</w:t>
      </w:r>
      <w:r w:rsidR="00157661">
        <w:t>į</w:t>
      </w:r>
      <w:r w:rsidR="00157661">
        <w:t xml:space="preserve"> pagrind</w:t>
      </w:r>
      <w:r w:rsidR="00157661">
        <w:t xml:space="preserve">ą ir </w:t>
      </w:r>
      <w:r>
        <w:t xml:space="preserve">toliau jas mažinti. Viską galima lengvai pamatyti </w:t>
      </w:r>
      <w:r w:rsidR="00157661">
        <w:t>VKEKK</w:t>
      </w:r>
      <w:r>
        <w:t xml:space="preserve"> ar LŠTA skelbiamoje statistikoje.</w:t>
      </w:r>
    </w:p>
    <w:p w:rsidR="00157661" w:rsidRDefault="00157661" w:rsidP="008B34A3">
      <w:pPr>
        <w:spacing w:after="0" w:line="240" w:lineRule="auto"/>
        <w:jc w:val="both"/>
      </w:pPr>
    </w:p>
    <w:p w:rsidR="00A07C64" w:rsidRDefault="00A07C64" w:rsidP="00A07C64">
      <w:pPr>
        <w:spacing w:after="0" w:line="240" w:lineRule="auto"/>
        <w:jc w:val="both"/>
      </w:pPr>
      <w:r>
        <w:t>Naujos AB „Kauno energija" šilumos kainos įsigalios bendrovės valdybai patvirtinus šilumos kainos dedamąsias pirmiesiems bazinės kainos galiojimo metams.</w:t>
      </w:r>
      <w:r w:rsidR="00157661">
        <w:t xml:space="preserve"> </w:t>
      </w:r>
      <w:r w:rsidR="00F43AED">
        <w:t>N</w:t>
      </w:r>
      <w:r>
        <w:t>auja bazinė kaina Kaune sekančiam laikotarpiui turėtų sumažėti 8,3 proc. Atitinkamai šiuo dydžiu bus mažinama ir šilumos kaina AB „Kauno energija“ vartotojams.</w:t>
      </w:r>
    </w:p>
    <w:p w:rsidR="00A07C64" w:rsidRDefault="00A07C64" w:rsidP="00A07C64">
      <w:pPr>
        <w:spacing w:after="0" w:line="240" w:lineRule="auto"/>
        <w:jc w:val="both"/>
      </w:pPr>
    </w:p>
    <w:p w:rsidR="00A07C64" w:rsidRDefault="00A07C64" w:rsidP="00A07C64">
      <w:pPr>
        <w:spacing w:after="0" w:line="240" w:lineRule="auto"/>
        <w:jc w:val="both"/>
      </w:pPr>
      <w:r>
        <w:t>Be abejo, galutinė kaina vartotojams svyruos priklausomai nuo kuro ir perkamos šilumos kainų, tačiau ji visą minėtą laikotarpį bus 8,3 proc. mažesnė, nei galėtų būti, jei būtų neperskaičiuota bazinė kaina. Kaip numato sektoriui galiojanti tvarka, šilumos kaina vartotojams perskaičiuojama kiekvieną mėnesį.</w:t>
      </w:r>
    </w:p>
    <w:p w:rsidR="00A07C64" w:rsidRDefault="00A07C64" w:rsidP="00A07C64">
      <w:pPr>
        <w:spacing w:after="0" w:line="240" w:lineRule="auto"/>
        <w:jc w:val="both"/>
      </w:pPr>
    </w:p>
    <w:p w:rsidR="00A07C64" w:rsidRDefault="00F43AED" w:rsidP="00A07C64">
      <w:pPr>
        <w:spacing w:after="0" w:line="240" w:lineRule="auto"/>
        <w:jc w:val="both"/>
      </w:pPr>
      <w:r>
        <w:t>S</w:t>
      </w:r>
      <w:r w:rsidR="00A07C64">
        <w:t>iekdama, kad jau artimiausiu metu vartotojams galėtų būti taikoma mažesnė šilumos kaina, bendrovės valdyba šių metų kovo 23 d. priėmė sprendimą, kad bendrovės papildomai gautos pajamos, dėl faktinių ir į šilumos kainą įskaičiuotų kuro įsigijimo ir suvartojimo bei šilumos įsigijimo kainų skirtumo, susidariusios 2015 m. sausio 1 d. – 2015 m. gruodžio 31 d. laikotarpiu, būtų paskirstytos 12 mėnesių baziniam realizuotam šilumos kiekiui. Ši dedamoji šilumos kainą vartotojams mažins 0,62 ct/kWh (be PVM) nuo  2018 m. gegužės 1 d. ir galios iki Komisijos bazinės šilumos kainos dedamųjų nustatymo.</w:t>
      </w:r>
    </w:p>
    <w:p w:rsidR="00A07C64" w:rsidRDefault="00A07C64" w:rsidP="00A07C64">
      <w:pPr>
        <w:spacing w:after="0" w:line="240" w:lineRule="auto"/>
        <w:jc w:val="both"/>
      </w:pPr>
    </w:p>
    <w:p w:rsidR="00A07C64" w:rsidRDefault="00A07C64" w:rsidP="00A07C64">
      <w:pPr>
        <w:spacing w:after="0" w:line="240" w:lineRule="auto"/>
        <w:jc w:val="both"/>
      </w:pPr>
      <w:r>
        <w:t>Dėl įvykdytų investicijų į gamybos ir perdavimo efektyvumo padidinimą, AB „Kauno energija“ vartotojams tiekiamos šilumos kaina stabiliai įsitvirtino tarp mažiausių šilumos kainų Lietuvoje.</w:t>
      </w:r>
    </w:p>
    <w:p w:rsidR="00A07C64" w:rsidRDefault="00A07C64" w:rsidP="00A07C64">
      <w:pPr>
        <w:spacing w:after="0" w:line="240" w:lineRule="auto"/>
        <w:jc w:val="both"/>
      </w:pPr>
    </w:p>
    <w:p w:rsidR="00FA70DB" w:rsidRDefault="00A07C64" w:rsidP="00A07C64">
      <w:pPr>
        <w:spacing w:after="0" w:line="240" w:lineRule="auto"/>
        <w:jc w:val="both"/>
      </w:pPr>
      <w:r>
        <w:t xml:space="preserve">Visą informaciją apie kainas, kainų dedamąsias, name suvartotą šilumą, vidutinius mokėjimus ir kitus duomenis galite rasti bendrovės interneto svetainėje </w:t>
      </w:r>
      <w:hyperlink r:id="rId4" w:history="1">
        <w:r w:rsidR="003E2663" w:rsidRPr="00392F7E">
          <w:rPr>
            <w:rStyle w:val="Hyperlink"/>
          </w:rPr>
          <w:t>www.kaunoenergija.lt</w:t>
        </w:r>
      </w:hyperlink>
      <w:r>
        <w:t>.</w:t>
      </w:r>
    </w:p>
    <w:p w:rsidR="003E2663" w:rsidRDefault="003E2663" w:rsidP="00A07C64">
      <w:pPr>
        <w:spacing w:after="0" w:line="240" w:lineRule="auto"/>
        <w:jc w:val="both"/>
      </w:pPr>
    </w:p>
    <w:p w:rsidR="003E2663" w:rsidRPr="00FA70DB" w:rsidRDefault="00A12C85" w:rsidP="00A07C64">
      <w:pPr>
        <w:spacing w:after="0" w:line="240" w:lineRule="auto"/>
        <w:jc w:val="both"/>
      </w:pPr>
      <w:r>
        <w:t xml:space="preserve">AB „Kauno energija“, kaip ir kitų Lietuvos šilumos tiekimo bendrovių veikla yra reguliuojama Valstybinės kainų ir energetikos kontrolės komisijos, bendrovės veikla yra kasmet audituojama pagal tarptautinius atskaitomybės standartus, bendrovės akcijos </w:t>
      </w:r>
      <w:proofErr w:type="spellStart"/>
      <w:r>
        <w:t>listinguojamos</w:t>
      </w:r>
      <w:proofErr w:type="spellEnd"/>
      <w:r>
        <w:t xml:space="preserve"> Vertybinių popierių biržoje </w:t>
      </w:r>
      <w:proofErr w:type="spellStart"/>
      <w:r>
        <w:t>Nasdaq</w:t>
      </w:r>
      <w:proofErr w:type="spellEnd"/>
      <w:r>
        <w:t xml:space="preserve"> Vilnius.</w:t>
      </w:r>
    </w:p>
    <w:sectPr w:rsidR="003E2663" w:rsidRPr="00FA70DB" w:rsidSect="00736CC6">
      <w:pgSz w:w="11907" w:h="16840" w:code="9"/>
      <w:pgMar w:top="851" w:right="1134"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B3"/>
    <w:rsid w:val="000224F4"/>
    <w:rsid w:val="000314D3"/>
    <w:rsid w:val="000555C8"/>
    <w:rsid w:val="000D2F39"/>
    <w:rsid w:val="00117E5B"/>
    <w:rsid w:val="00156680"/>
    <w:rsid w:val="00157661"/>
    <w:rsid w:val="00157D1C"/>
    <w:rsid w:val="00186FED"/>
    <w:rsid w:val="001A6F76"/>
    <w:rsid w:val="001D74B9"/>
    <w:rsid w:val="00286797"/>
    <w:rsid w:val="00287966"/>
    <w:rsid w:val="002C3A3A"/>
    <w:rsid w:val="002C73F3"/>
    <w:rsid w:val="00321EB3"/>
    <w:rsid w:val="003B2BD2"/>
    <w:rsid w:val="003C1CAE"/>
    <w:rsid w:val="003E07DB"/>
    <w:rsid w:val="003E2663"/>
    <w:rsid w:val="004538DF"/>
    <w:rsid w:val="004847E0"/>
    <w:rsid w:val="004B4E1F"/>
    <w:rsid w:val="004C105C"/>
    <w:rsid w:val="004D599A"/>
    <w:rsid w:val="004F77F0"/>
    <w:rsid w:val="00516469"/>
    <w:rsid w:val="005B09D5"/>
    <w:rsid w:val="005E0484"/>
    <w:rsid w:val="00605A15"/>
    <w:rsid w:val="00616162"/>
    <w:rsid w:val="006454B0"/>
    <w:rsid w:val="006A1023"/>
    <w:rsid w:val="006B085D"/>
    <w:rsid w:val="006B211A"/>
    <w:rsid w:val="006D1771"/>
    <w:rsid w:val="006D68D2"/>
    <w:rsid w:val="006D6FCC"/>
    <w:rsid w:val="00727A6A"/>
    <w:rsid w:val="00736CC6"/>
    <w:rsid w:val="007743E9"/>
    <w:rsid w:val="00776639"/>
    <w:rsid w:val="00785DCF"/>
    <w:rsid w:val="007C3FDF"/>
    <w:rsid w:val="007D03D5"/>
    <w:rsid w:val="007E3C87"/>
    <w:rsid w:val="008933F6"/>
    <w:rsid w:val="008B34A3"/>
    <w:rsid w:val="008B74D2"/>
    <w:rsid w:val="008E7AFB"/>
    <w:rsid w:val="009273CF"/>
    <w:rsid w:val="00951BC7"/>
    <w:rsid w:val="00970BE8"/>
    <w:rsid w:val="00991A6F"/>
    <w:rsid w:val="009F396B"/>
    <w:rsid w:val="00A07C64"/>
    <w:rsid w:val="00A12C85"/>
    <w:rsid w:val="00A47BE9"/>
    <w:rsid w:val="00BB5BE1"/>
    <w:rsid w:val="00C32BB7"/>
    <w:rsid w:val="00C80A3D"/>
    <w:rsid w:val="00C8632C"/>
    <w:rsid w:val="00CA5917"/>
    <w:rsid w:val="00CC32D2"/>
    <w:rsid w:val="00D577CE"/>
    <w:rsid w:val="00D644BC"/>
    <w:rsid w:val="00DB1132"/>
    <w:rsid w:val="00DC3389"/>
    <w:rsid w:val="00DD3E2B"/>
    <w:rsid w:val="00DE278B"/>
    <w:rsid w:val="00E01CA2"/>
    <w:rsid w:val="00E33D8C"/>
    <w:rsid w:val="00E64EAD"/>
    <w:rsid w:val="00E848F3"/>
    <w:rsid w:val="00EB3558"/>
    <w:rsid w:val="00F021C2"/>
    <w:rsid w:val="00F43AED"/>
    <w:rsid w:val="00F9644D"/>
    <w:rsid w:val="00FA70DB"/>
    <w:rsid w:val="00FF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89C7"/>
  <w15:chartTrackingRefBased/>
  <w15:docId w15:val="{26E64A3E-4167-4DB2-981E-0C1B1DCA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CF"/>
    <w:rPr>
      <w:rFonts w:ascii="Segoe UI" w:hAnsi="Segoe UI" w:cs="Segoe UI"/>
      <w:sz w:val="18"/>
      <w:szCs w:val="18"/>
      <w:lang w:val="lt-LT"/>
    </w:rPr>
  </w:style>
  <w:style w:type="character" w:styleId="Hyperlink">
    <w:name w:val="Hyperlink"/>
    <w:basedOn w:val="DefaultParagraphFont"/>
    <w:uiPriority w:val="99"/>
    <w:unhideWhenUsed/>
    <w:rsid w:val="003E2663"/>
    <w:rPr>
      <w:color w:val="0563C1" w:themeColor="hyperlink"/>
      <w:u w:val="single"/>
    </w:rPr>
  </w:style>
  <w:style w:type="character" w:styleId="UnresolvedMention">
    <w:name w:val="Unresolved Mention"/>
    <w:basedOn w:val="DefaultParagraphFont"/>
    <w:uiPriority w:val="99"/>
    <w:semiHidden/>
    <w:unhideWhenUsed/>
    <w:rsid w:val="003E2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unoenerg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Ūdrys Staselka</dc:creator>
  <cp:keywords/>
  <dc:description/>
  <cp:lastModifiedBy>Ūdrys Staselka</cp:lastModifiedBy>
  <cp:revision>7</cp:revision>
  <cp:lastPrinted>2018-09-20T08:06:00Z</cp:lastPrinted>
  <dcterms:created xsi:type="dcterms:W3CDTF">2018-09-20T05:54:00Z</dcterms:created>
  <dcterms:modified xsi:type="dcterms:W3CDTF">2018-09-20T07:26:00Z</dcterms:modified>
</cp:coreProperties>
</file>