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7C" w:rsidRDefault="00BD7F7C" w:rsidP="00653808">
      <w:pPr>
        <w:jc w:val="center"/>
        <w:rPr>
          <w:rFonts w:ascii="Times New Roman" w:hAnsi="Times New Roman"/>
          <w:b/>
          <w:sz w:val="24"/>
          <w:szCs w:val="24"/>
          <w:lang w:val="lt-LT"/>
        </w:rPr>
      </w:pPr>
      <w:bookmarkStart w:id="0" w:name="_GoBack"/>
      <w:bookmarkEnd w:id="0"/>
    </w:p>
    <w:p w:rsidR="00BD7F7C" w:rsidRDefault="00FD6546" w:rsidP="00653808">
      <w:pPr>
        <w:jc w:val="center"/>
        <w:rPr>
          <w:rFonts w:ascii="Times New Roman" w:hAnsi="Times New Roman"/>
          <w:b/>
          <w:sz w:val="24"/>
          <w:szCs w:val="24"/>
          <w:lang w:val="lt-LT"/>
        </w:rPr>
      </w:pPr>
      <w:r w:rsidRPr="008559DC">
        <w:rPr>
          <w:rFonts w:ascii="Times New Roman" w:hAnsi="Times New Roman"/>
          <w:b/>
          <w:sz w:val="24"/>
          <w:szCs w:val="24"/>
          <w:lang w:val="lt-LT"/>
        </w:rPr>
        <w:t xml:space="preserve">AKTUALŪS ŠILUMOS ŪKIO </w:t>
      </w:r>
      <w:r>
        <w:rPr>
          <w:rFonts w:ascii="Times New Roman" w:hAnsi="Times New Roman"/>
          <w:b/>
          <w:sz w:val="24"/>
          <w:szCs w:val="24"/>
          <w:lang w:val="lt-LT"/>
        </w:rPr>
        <w:t>PROBLEMINIAI</w:t>
      </w:r>
      <w:r w:rsidRPr="008559DC">
        <w:rPr>
          <w:rFonts w:ascii="Times New Roman" w:hAnsi="Times New Roman"/>
          <w:b/>
          <w:sz w:val="24"/>
          <w:szCs w:val="24"/>
          <w:lang w:val="lt-LT"/>
        </w:rPr>
        <w:t xml:space="preserve"> KLAUSIMAI</w:t>
      </w:r>
    </w:p>
    <w:p w:rsidR="00BD7F7C" w:rsidRDefault="00BD7F7C" w:rsidP="00653808">
      <w:pPr>
        <w:jc w:val="center"/>
        <w:rPr>
          <w:rFonts w:ascii="Times New Roman" w:hAnsi="Times New Roman"/>
          <w:b/>
          <w:sz w:val="24"/>
          <w:szCs w:val="24"/>
          <w:lang w:val="lt-LT"/>
        </w:rPr>
      </w:pPr>
    </w:p>
    <w:tbl>
      <w:tblPr>
        <w:tblStyle w:val="TableGrid"/>
        <w:tblW w:w="10740" w:type="dxa"/>
        <w:tblLook w:val="04A0" w:firstRow="1" w:lastRow="0" w:firstColumn="1" w:lastColumn="0" w:noHBand="0" w:noVBand="1"/>
      </w:tblPr>
      <w:tblGrid>
        <w:gridCol w:w="614"/>
        <w:gridCol w:w="3977"/>
        <w:gridCol w:w="6149"/>
      </w:tblGrid>
      <w:tr w:rsidR="008559DC" w:rsidRPr="0000594D" w:rsidTr="00BD7F7C">
        <w:trPr>
          <w:trHeight w:val="510"/>
          <w:tblHeader/>
        </w:trPr>
        <w:tc>
          <w:tcPr>
            <w:tcW w:w="614" w:type="dxa"/>
            <w:shd w:val="clear" w:color="auto" w:fill="76923C" w:themeFill="accent3" w:themeFillShade="BF"/>
          </w:tcPr>
          <w:p w:rsidR="008559DC" w:rsidRPr="0000594D" w:rsidRDefault="008559DC" w:rsidP="0000594D">
            <w:pPr>
              <w:jc w:val="center"/>
              <w:rPr>
                <w:rFonts w:ascii="Times New Roman" w:hAnsi="Times New Roman"/>
                <w:b/>
                <w:color w:val="FFFFFF" w:themeColor="background1"/>
                <w:sz w:val="24"/>
                <w:szCs w:val="24"/>
                <w:lang w:val="lt-LT"/>
              </w:rPr>
            </w:pPr>
            <w:r w:rsidRPr="0000594D">
              <w:rPr>
                <w:rFonts w:ascii="Times New Roman" w:hAnsi="Times New Roman"/>
                <w:b/>
                <w:color w:val="FFFFFF" w:themeColor="background1"/>
                <w:sz w:val="24"/>
                <w:szCs w:val="24"/>
                <w:lang w:val="lt-LT"/>
              </w:rPr>
              <w:t>Nr.</w:t>
            </w:r>
          </w:p>
        </w:tc>
        <w:tc>
          <w:tcPr>
            <w:tcW w:w="3977" w:type="dxa"/>
            <w:shd w:val="clear" w:color="auto" w:fill="76923C" w:themeFill="accent3" w:themeFillShade="BF"/>
          </w:tcPr>
          <w:p w:rsidR="008559DC" w:rsidRPr="0000594D" w:rsidRDefault="00C5396C" w:rsidP="0000594D">
            <w:pPr>
              <w:jc w:val="center"/>
              <w:rPr>
                <w:rFonts w:ascii="Times New Roman" w:hAnsi="Times New Roman"/>
                <w:b/>
                <w:bCs/>
                <w:color w:val="FFFFFF" w:themeColor="background1"/>
                <w:sz w:val="24"/>
                <w:szCs w:val="24"/>
                <w:lang w:val="lt-LT"/>
              </w:rPr>
            </w:pPr>
            <w:r>
              <w:rPr>
                <w:rFonts w:ascii="Times New Roman" w:hAnsi="Times New Roman"/>
                <w:b/>
                <w:bCs/>
                <w:color w:val="FFFFFF" w:themeColor="background1"/>
                <w:sz w:val="24"/>
                <w:szCs w:val="24"/>
                <w:lang w:val="lt-LT"/>
              </w:rPr>
              <w:t>Aktualūs klausimai</w:t>
            </w:r>
          </w:p>
        </w:tc>
        <w:tc>
          <w:tcPr>
            <w:tcW w:w="6149" w:type="dxa"/>
            <w:shd w:val="clear" w:color="auto" w:fill="76923C" w:themeFill="accent3" w:themeFillShade="BF"/>
          </w:tcPr>
          <w:p w:rsidR="008559DC" w:rsidRPr="0000594D" w:rsidRDefault="008559DC" w:rsidP="0000594D">
            <w:pPr>
              <w:pStyle w:val="ListParagraph"/>
              <w:jc w:val="center"/>
              <w:rPr>
                <w:b/>
                <w:color w:val="FFFFFF" w:themeColor="background1"/>
                <w:szCs w:val="24"/>
              </w:rPr>
            </w:pPr>
            <w:r w:rsidRPr="0000594D">
              <w:rPr>
                <w:b/>
                <w:color w:val="FFFFFF" w:themeColor="background1"/>
                <w:szCs w:val="24"/>
              </w:rPr>
              <w:t>Esama situacija (problematika)</w:t>
            </w:r>
          </w:p>
        </w:tc>
      </w:tr>
      <w:tr w:rsidR="00246398" w:rsidRPr="00BD7F7C" w:rsidTr="00BD7F7C">
        <w:trPr>
          <w:trHeight w:val="510"/>
        </w:trPr>
        <w:tc>
          <w:tcPr>
            <w:tcW w:w="614" w:type="dxa"/>
          </w:tcPr>
          <w:p w:rsidR="00246398" w:rsidRPr="008559DC" w:rsidRDefault="00246398" w:rsidP="008559DC">
            <w:pPr>
              <w:jc w:val="center"/>
              <w:rPr>
                <w:rFonts w:ascii="Times New Roman" w:hAnsi="Times New Roman"/>
                <w:b/>
                <w:sz w:val="24"/>
                <w:szCs w:val="24"/>
                <w:lang w:val="lt-LT"/>
              </w:rPr>
            </w:pPr>
            <w:r w:rsidRPr="008559DC">
              <w:rPr>
                <w:rFonts w:ascii="Times New Roman" w:hAnsi="Times New Roman"/>
                <w:b/>
                <w:sz w:val="24"/>
                <w:szCs w:val="24"/>
                <w:lang w:val="lt-LT"/>
              </w:rPr>
              <w:t>1.</w:t>
            </w:r>
          </w:p>
        </w:tc>
        <w:tc>
          <w:tcPr>
            <w:tcW w:w="3977" w:type="dxa"/>
          </w:tcPr>
          <w:p w:rsidR="00246398" w:rsidRPr="00BD7F7C" w:rsidRDefault="00AD3E3F" w:rsidP="00AD3E3F">
            <w:pPr>
              <w:autoSpaceDE w:val="0"/>
              <w:autoSpaceDN w:val="0"/>
              <w:adjustRightInd w:val="0"/>
              <w:rPr>
                <w:rFonts w:ascii="Times New Roman" w:hAnsi="Times New Roman"/>
                <w:b/>
                <w:sz w:val="24"/>
                <w:szCs w:val="24"/>
                <w:lang w:val="lt-LT"/>
              </w:rPr>
            </w:pPr>
            <w:r w:rsidRPr="008D4C44">
              <w:rPr>
                <w:rFonts w:ascii="Times New Roman" w:hAnsi="Times New Roman"/>
                <w:b/>
                <w:bCs/>
                <w:sz w:val="24"/>
                <w:szCs w:val="24"/>
                <w:lang w:val="lt-LT"/>
              </w:rPr>
              <w:t xml:space="preserve">Nacionalinės energetikos nepriklausomybės strategijos </w:t>
            </w:r>
            <w:r>
              <w:rPr>
                <w:rFonts w:ascii="Times New Roman" w:hAnsi="Times New Roman"/>
                <w:b/>
                <w:bCs/>
                <w:sz w:val="24"/>
                <w:szCs w:val="24"/>
                <w:lang w:val="lt-LT"/>
              </w:rPr>
              <w:t xml:space="preserve">atnaujinimo </w:t>
            </w:r>
            <w:r w:rsidRPr="008D4C44">
              <w:rPr>
                <w:rFonts w:ascii="Times New Roman" w:hAnsi="Times New Roman"/>
                <w:b/>
                <w:bCs/>
                <w:sz w:val="24"/>
                <w:szCs w:val="24"/>
                <w:lang w:val="lt-LT"/>
              </w:rPr>
              <w:t xml:space="preserve">projekte </w:t>
            </w:r>
            <w:r>
              <w:rPr>
                <w:rFonts w:ascii="Times New Roman" w:hAnsi="Times New Roman"/>
                <w:b/>
                <w:bCs/>
                <w:sz w:val="24"/>
                <w:szCs w:val="24"/>
                <w:lang w:val="lt-LT"/>
              </w:rPr>
              <w:t xml:space="preserve">numatytas </w:t>
            </w:r>
            <w:r w:rsidR="008D4C44" w:rsidRPr="008D4C44">
              <w:rPr>
                <w:rFonts w:ascii="Times New Roman" w:hAnsi="Times New Roman"/>
                <w:b/>
                <w:sz w:val="24"/>
                <w:szCs w:val="24"/>
                <w:lang w:val="lt-LT" w:eastAsia="lt-LT"/>
              </w:rPr>
              <w:t xml:space="preserve">Trečiojo energetikos paketo principų įgyvendinimas </w:t>
            </w:r>
            <w:r>
              <w:rPr>
                <w:rFonts w:ascii="Times New Roman" w:hAnsi="Times New Roman"/>
                <w:b/>
                <w:sz w:val="24"/>
                <w:szCs w:val="24"/>
                <w:lang w:val="lt-LT" w:eastAsia="lt-LT"/>
              </w:rPr>
              <w:t xml:space="preserve">šilumos ūkyje </w:t>
            </w:r>
          </w:p>
        </w:tc>
        <w:tc>
          <w:tcPr>
            <w:tcW w:w="6149" w:type="dxa"/>
          </w:tcPr>
          <w:p w:rsidR="005E1BE5" w:rsidRDefault="005E1BE5" w:rsidP="005E1BE5">
            <w:pPr>
              <w:pStyle w:val="ListParagraph"/>
              <w:ind w:left="176"/>
              <w:rPr>
                <w:szCs w:val="24"/>
              </w:rPr>
            </w:pPr>
            <w:r>
              <w:rPr>
                <w:szCs w:val="24"/>
              </w:rPr>
              <w:t xml:space="preserve">2014 m. </w:t>
            </w:r>
            <w:r w:rsidRPr="00092423">
              <w:rPr>
                <w:szCs w:val="24"/>
              </w:rPr>
              <w:t xml:space="preserve">LR Vyriausybės užsakymu Lietuvos energetikos institutas </w:t>
            </w:r>
            <w:r>
              <w:rPr>
                <w:szCs w:val="24"/>
              </w:rPr>
              <w:t>atliko</w:t>
            </w:r>
            <w:r w:rsidRPr="00092423">
              <w:rPr>
                <w:szCs w:val="24"/>
              </w:rPr>
              <w:t xml:space="preserve"> mokslo-tiriam</w:t>
            </w:r>
            <w:r>
              <w:rPr>
                <w:szCs w:val="24"/>
              </w:rPr>
              <w:t>ąjį</w:t>
            </w:r>
            <w:r w:rsidRPr="00092423">
              <w:rPr>
                <w:szCs w:val="24"/>
              </w:rPr>
              <w:t xml:space="preserve"> darb</w:t>
            </w:r>
            <w:r>
              <w:rPr>
                <w:szCs w:val="24"/>
              </w:rPr>
              <w:t>ą</w:t>
            </w:r>
            <w:r w:rsidRPr="00092423">
              <w:rPr>
                <w:szCs w:val="24"/>
              </w:rPr>
              <w:t xml:space="preserve"> „Lietuvos energetikos sektoriaus perspektyvinės plėtros analizė, atsižvelgiant į ES strategines iniciatyvas energetikos srityje“</w:t>
            </w:r>
            <w:r>
              <w:rPr>
                <w:szCs w:val="24"/>
              </w:rPr>
              <w:t xml:space="preserve">. 2014 m. rugsėjo mėn. </w:t>
            </w:r>
            <w:r w:rsidRPr="00092423">
              <w:rPr>
                <w:szCs w:val="24"/>
              </w:rPr>
              <w:t>LRV paskelbė tyrimo ataskaitą, Nacionalinės Energetikos strategijos 2014 metų projektą</w:t>
            </w:r>
            <w:r>
              <w:rPr>
                <w:szCs w:val="24"/>
              </w:rPr>
              <w:t xml:space="preserve">, kuriame studijos rengėjai siūlo taikyti šilumos gamybos ir perdavimo veiklų atskyrimo principus sistemose, kuriose realizuojama ne mažiau kaip 200 </w:t>
            </w:r>
            <w:proofErr w:type="spellStart"/>
            <w:r>
              <w:rPr>
                <w:szCs w:val="24"/>
              </w:rPr>
              <w:t>GWh</w:t>
            </w:r>
            <w:proofErr w:type="spellEnd"/>
            <w:r>
              <w:rPr>
                <w:szCs w:val="24"/>
              </w:rPr>
              <w:t xml:space="preserve"> šilumos per metus.</w:t>
            </w:r>
          </w:p>
          <w:p w:rsidR="005E1BE5" w:rsidRDefault="005E1BE5" w:rsidP="005E1BE5">
            <w:pPr>
              <w:pStyle w:val="ListParagraph"/>
              <w:ind w:left="176"/>
              <w:rPr>
                <w:szCs w:val="24"/>
              </w:rPr>
            </w:pPr>
            <w:r>
              <w:rPr>
                <w:szCs w:val="24"/>
              </w:rPr>
              <w:t xml:space="preserve">2015 m. gegužės-lapkričio mėn. Energetikos ministerijos užsakymu LEI rengia Nacionalinės energetikos strategijos atnaujinimo projektą. </w:t>
            </w:r>
          </w:p>
          <w:p w:rsidR="00246398" w:rsidRPr="005E1BE5" w:rsidRDefault="005E1BE5" w:rsidP="007D1744">
            <w:pPr>
              <w:pStyle w:val="ListParagraph"/>
              <w:numPr>
                <w:ilvl w:val="0"/>
                <w:numId w:val="14"/>
              </w:numPr>
              <w:rPr>
                <w:b/>
                <w:bCs/>
                <w:szCs w:val="24"/>
              </w:rPr>
            </w:pPr>
            <w:r w:rsidRPr="005E1BE5">
              <w:rPr>
                <w:szCs w:val="24"/>
              </w:rPr>
              <w:t>LŠTA Tarybos pavedimu atliekama studija „Šilumos gamybos ir šilumos perdavimo veiklų atskyrimo įtaka šilumos kainai ir tiekimo patikimumui“;</w:t>
            </w:r>
          </w:p>
        </w:tc>
      </w:tr>
      <w:tr w:rsidR="00246398" w:rsidRPr="008559DC" w:rsidTr="00BD7F7C">
        <w:trPr>
          <w:trHeight w:val="510"/>
        </w:trPr>
        <w:tc>
          <w:tcPr>
            <w:tcW w:w="614" w:type="dxa"/>
          </w:tcPr>
          <w:p w:rsidR="00246398" w:rsidRPr="008559DC" w:rsidRDefault="00246398" w:rsidP="008559DC">
            <w:pPr>
              <w:jc w:val="center"/>
              <w:rPr>
                <w:rFonts w:ascii="Times New Roman" w:hAnsi="Times New Roman"/>
                <w:b/>
                <w:sz w:val="24"/>
                <w:szCs w:val="24"/>
                <w:lang w:val="lt-LT"/>
              </w:rPr>
            </w:pPr>
            <w:r w:rsidRPr="008559DC">
              <w:rPr>
                <w:rFonts w:ascii="Times New Roman" w:hAnsi="Times New Roman"/>
                <w:b/>
                <w:sz w:val="24"/>
                <w:szCs w:val="24"/>
                <w:lang w:val="lt-LT"/>
              </w:rPr>
              <w:t>2.</w:t>
            </w:r>
          </w:p>
        </w:tc>
        <w:tc>
          <w:tcPr>
            <w:tcW w:w="3977" w:type="dxa"/>
          </w:tcPr>
          <w:p w:rsidR="00246398" w:rsidRPr="008D4C44" w:rsidRDefault="008D4C44" w:rsidP="008D4C44">
            <w:pPr>
              <w:jc w:val="both"/>
              <w:rPr>
                <w:rFonts w:ascii="Times New Roman" w:hAnsi="Times New Roman"/>
                <w:b/>
                <w:sz w:val="24"/>
                <w:szCs w:val="24"/>
                <w:lang w:val="lt-LT"/>
              </w:rPr>
            </w:pPr>
            <w:r w:rsidRPr="008D4C44">
              <w:rPr>
                <w:rFonts w:ascii="Times New Roman" w:hAnsi="Times New Roman"/>
                <w:b/>
                <w:sz w:val="24"/>
                <w:szCs w:val="24"/>
                <w:lang w:val="lt-LT"/>
              </w:rPr>
              <w:t xml:space="preserve">CŠT sektoriaus duomenų bazės sukūrimas, </w:t>
            </w:r>
            <w:r w:rsidRPr="008D4C44">
              <w:rPr>
                <w:rFonts w:ascii="Times New Roman" w:hAnsi="Times New Roman"/>
                <w:sz w:val="24"/>
                <w:szCs w:val="24"/>
                <w:lang w:val="lt-LT"/>
              </w:rPr>
              <w:t xml:space="preserve">įgyvendinant 1.3.3. priemonę </w:t>
            </w:r>
            <w:r w:rsidR="00246398" w:rsidRPr="008D4C44">
              <w:rPr>
                <w:rFonts w:ascii="Times New Roman" w:hAnsi="Times New Roman"/>
                <w:sz w:val="24"/>
                <w:szCs w:val="24"/>
                <w:lang w:val="lt-LT"/>
              </w:rPr>
              <w:t>Nacionalinė</w:t>
            </w:r>
            <w:r>
              <w:rPr>
                <w:rFonts w:ascii="Times New Roman" w:hAnsi="Times New Roman"/>
                <w:sz w:val="24"/>
                <w:szCs w:val="24"/>
                <w:lang w:val="lt-LT"/>
              </w:rPr>
              <w:t>je</w:t>
            </w:r>
            <w:r w:rsidR="00246398" w:rsidRPr="008D4C44">
              <w:rPr>
                <w:rFonts w:ascii="Times New Roman" w:hAnsi="Times New Roman"/>
                <w:sz w:val="24"/>
                <w:szCs w:val="24"/>
                <w:lang w:val="lt-LT"/>
              </w:rPr>
              <w:t xml:space="preserve"> šilumos ūkio plėtros 2014-2020 m. program</w:t>
            </w:r>
            <w:r w:rsidRPr="008D4C44">
              <w:rPr>
                <w:rFonts w:ascii="Times New Roman" w:hAnsi="Times New Roman"/>
                <w:sz w:val="24"/>
                <w:szCs w:val="24"/>
                <w:lang w:val="lt-LT"/>
              </w:rPr>
              <w:t>oje</w:t>
            </w:r>
          </w:p>
        </w:tc>
        <w:tc>
          <w:tcPr>
            <w:tcW w:w="6149" w:type="dxa"/>
          </w:tcPr>
          <w:p w:rsidR="00246398" w:rsidRPr="008559DC" w:rsidRDefault="005E1BE5" w:rsidP="007D1744">
            <w:pPr>
              <w:pStyle w:val="ListParagraph"/>
              <w:numPr>
                <w:ilvl w:val="0"/>
                <w:numId w:val="1"/>
              </w:numPr>
              <w:rPr>
                <w:b/>
                <w:szCs w:val="24"/>
              </w:rPr>
            </w:pPr>
            <w:r>
              <w:t xml:space="preserve">2015-05-29 d. </w:t>
            </w:r>
            <w:r w:rsidRPr="000C7383">
              <w:t>Energetikos ministerij</w:t>
            </w:r>
            <w:r>
              <w:t>a paprašė teikti siūlymus</w:t>
            </w:r>
            <w:r w:rsidRPr="000C7383">
              <w:t xml:space="preserve"> dėl </w:t>
            </w:r>
            <w:r>
              <w:t xml:space="preserve">kuriamos </w:t>
            </w:r>
            <w:r w:rsidRPr="000C7383">
              <w:t>CŠT sektoriaus du</w:t>
            </w:r>
            <w:r>
              <w:t>omenų bazės</w:t>
            </w:r>
            <w:r w:rsidRPr="000C7383">
              <w:t>, vykdant programos 1.3.3. priemonę</w:t>
            </w:r>
            <w:r>
              <w:t>. Šiuo klausimu 2015-06-04 d. buvo organizuotas susitikimas ministerijoje. LŠTA teikė savo siūlymus (</w:t>
            </w:r>
            <w:r w:rsidRPr="000C7383">
              <w:t xml:space="preserve">2015-04-21 </w:t>
            </w:r>
            <w:r>
              <w:t xml:space="preserve">ir 2015-06-01 </w:t>
            </w:r>
            <w:r w:rsidRPr="000C7383">
              <w:t>d. rašt</w:t>
            </w:r>
            <w:r>
              <w:t>ai dėl duomenų bazės administratoriaus)</w:t>
            </w:r>
          </w:p>
        </w:tc>
      </w:tr>
      <w:tr w:rsidR="00246398" w:rsidRPr="00BD7F7C" w:rsidTr="00BD7F7C">
        <w:trPr>
          <w:trHeight w:val="510"/>
        </w:trPr>
        <w:tc>
          <w:tcPr>
            <w:tcW w:w="614" w:type="dxa"/>
          </w:tcPr>
          <w:p w:rsidR="00246398" w:rsidRPr="008559DC" w:rsidRDefault="00246398" w:rsidP="008559DC">
            <w:pPr>
              <w:jc w:val="center"/>
              <w:rPr>
                <w:rFonts w:ascii="Times New Roman" w:hAnsi="Times New Roman"/>
                <w:b/>
                <w:sz w:val="24"/>
                <w:szCs w:val="24"/>
                <w:lang w:val="lt-LT"/>
              </w:rPr>
            </w:pPr>
            <w:r w:rsidRPr="008559DC">
              <w:rPr>
                <w:rFonts w:ascii="Times New Roman" w:hAnsi="Times New Roman"/>
                <w:b/>
                <w:sz w:val="24"/>
                <w:szCs w:val="24"/>
                <w:lang w:val="lt-LT"/>
              </w:rPr>
              <w:t>3</w:t>
            </w:r>
            <w:r w:rsidR="002832FE">
              <w:rPr>
                <w:rFonts w:ascii="Times New Roman" w:hAnsi="Times New Roman"/>
                <w:b/>
                <w:sz w:val="24"/>
                <w:szCs w:val="24"/>
                <w:lang w:val="lt-LT"/>
              </w:rPr>
              <w:t>.</w:t>
            </w:r>
          </w:p>
        </w:tc>
        <w:tc>
          <w:tcPr>
            <w:tcW w:w="3977" w:type="dxa"/>
          </w:tcPr>
          <w:p w:rsidR="00246398" w:rsidRPr="008559DC" w:rsidRDefault="00246398" w:rsidP="000F4B0E">
            <w:pPr>
              <w:jc w:val="both"/>
              <w:rPr>
                <w:rFonts w:ascii="Times New Roman" w:hAnsi="Times New Roman"/>
                <w:b/>
                <w:sz w:val="24"/>
                <w:szCs w:val="24"/>
                <w:lang w:val="lt-LT"/>
              </w:rPr>
            </w:pPr>
            <w:r w:rsidRPr="008559DC">
              <w:rPr>
                <w:rFonts w:ascii="Times New Roman" w:hAnsi="Times New Roman"/>
                <w:b/>
                <w:sz w:val="24"/>
                <w:szCs w:val="24"/>
                <w:lang w:val="lt-LT"/>
              </w:rPr>
              <w:t xml:space="preserve">Vilniaus ir Kauno miestų CŠT ūkio modernizavimo projektų </w:t>
            </w:r>
            <w:r w:rsidR="00850508">
              <w:rPr>
                <w:rFonts w:ascii="Times New Roman" w:hAnsi="Times New Roman"/>
                <w:b/>
                <w:sz w:val="24"/>
                <w:szCs w:val="24"/>
                <w:lang w:val="lt-LT"/>
              </w:rPr>
              <w:t>eiga</w:t>
            </w:r>
          </w:p>
          <w:p w:rsidR="00246398" w:rsidRPr="008559DC" w:rsidRDefault="00246398" w:rsidP="00246398">
            <w:pPr>
              <w:pStyle w:val="ListParagraph"/>
              <w:rPr>
                <w:szCs w:val="24"/>
              </w:rPr>
            </w:pPr>
          </w:p>
        </w:tc>
        <w:tc>
          <w:tcPr>
            <w:tcW w:w="6149" w:type="dxa"/>
          </w:tcPr>
          <w:p w:rsidR="002B3EE5" w:rsidRPr="002B3EE5" w:rsidRDefault="002B3EE5" w:rsidP="007D1744">
            <w:pPr>
              <w:pStyle w:val="ListParagraph"/>
              <w:numPr>
                <w:ilvl w:val="0"/>
                <w:numId w:val="2"/>
              </w:numPr>
              <w:rPr>
                <w:rStyle w:val="Strong"/>
                <w:b w:val="0"/>
                <w:bCs w:val="0"/>
                <w:szCs w:val="24"/>
              </w:rPr>
            </w:pPr>
            <w:r w:rsidRPr="002B3EE5">
              <w:rPr>
                <w:rStyle w:val="Strong"/>
                <w:b w:val="0"/>
              </w:rPr>
              <w:t>2015-11-11 Energetikos komisijos posėdžio metu N. Rasburskis pristatė 3 galimus projektų finansavimo scenarijus.</w:t>
            </w:r>
          </w:p>
          <w:p w:rsidR="00246398" w:rsidRPr="008559DC" w:rsidRDefault="002B3EE5" w:rsidP="007D1744">
            <w:pPr>
              <w:pStyle w:val="ListParagraph"/>
              <w:numPr>
                <w:ilvl w:val="0"/>
                <w:numId w:val="2"/>
              </w:numPr>
              <w:rPr>
                <w:b/>
                <w:szCs w:val="24"/>
              </w:rPr>
            </w:pPr>
            <w:r w:rsidRPr="00957ECF">
              <w:rPr>
                <w:szCs w:val="24"/>
              </w:rPr>
              <w:t>2015-11-18 d. EM ministro įsakymu Nr. 1-298 patvirtintas priemonės</w:t>
            </w:r>
            <w:r>
              <w:t>:</w:t>
            </w:r>
            <w:r w:rsidRPr="00957ECF">
              <w:rPr>
                <w:szCs w:val="24"/>
              </w:rPr>
              <w:t xml:space="preserve"> </w:t>
            </w:r>
            <w:r w:rsidRPr="00957ECF">
              <w:rPr>
                <w:i/>
                <w:szCs w:val="24"/>
              </w:rPr>
              <w:t xml:space="preserve">Nr. 04.1.1-LVPA-V-108 „Didelio efektyvumo </w:t>
            </w:r>
            <w:proofErr w:type="spellStart"/>
            <w:r w:rsidRPr="00957ECF">
              <w:rPr>
                <w:i/>
                <w:szCs w:val="24"/>
              </w:rPr>
              <w:t>kogeneracijos</w:t>
            </w:r>
            <w:proofErr w:type="spellEnd"/>
            <w:r w:rsidRPr="00957ECF">
              <w:rPr>
                <w:i/>
                <w:szCs w:val="24"/>
              </w:rPr>
              <w:t xml:space="preserve"> skatinimas Vilniaus Ir Kauno miestuose“ (233 mln. eurų parama)</w:t>
            </w:r>
            <w:r w:rsidRPr="00957ECF">
              <w:t xml:space="preserve"> įgyvendinimo planas</w:t>
            </w:r>
            <w:r>
              <w:t>.</w:t>
            </w:r>
          </w:p>
        </w:tc>
      </w:tr>
      <w:tr w:rsidR="00246398" w:rsidRPr="00BD7F7C" w:rsidTr="00BD7F7C">
        <w:trPr>
          <w:trHeight w:val="510"/>
        </w:trPr>
        <w:tc>
          <w:tcPr>
            <w:tcW w:w="614" w:type="dxa"/>
          </w:tcPr>
          <w:p w:rsidR="00246398" w:rsidRPr="008559DC" w:rsidRDefault="00246398" w:rsidP="008559DC">
            <w:pPr>
              <w:jc w:val="center"/>
              <w:rPr>
                <w:rFonts w:ascii="Times New Roman" w:hAnsi="Times New Roman"/>
                <w:b/>
                <w:sz w:val="24"/>
                <w:szCs w:val="24"/>
              </w:rPr>
            </w:pPr>
            <w:r w:rsidRPr="008559DC">
              <w:rPr>
                <w:rFonts w:ascii="Times New Roman" w:hAnsi="Times New Roman"/>
                <w:b/>
                <w:sz w:val="24"/>
                <w:szCs w:val="24"/>
              </w:rPr>
              <w:t>4</w:t>
            </w:r>
            <w:r w:rsidR="002832FE">
              <w:rPr>
                <w:rFonts w:ascii="Times New Roman" w:hAnsi="Times New Roman"/>
                <w:b/>
                <w:sz w:val="24"/>
                <w:szCs w:val="24"/>
              </w:rPr>
              <w:t>.</w:t>
            </w:r>
          </w:p>
        </w:tc>
        <w:tc>
          <w:tcPr>
            <w:tcW w:w="3977" w:type="dxa"/>
          </w:tcPr>
          <w:p w:rsidR="00246398" w:rsidRPr="008559DC" w:rsidRDefault="00246398" w:rsidP="00246398">
            <w:pPr>
              <w:ind w:left="34"/>
              <w:jc w:val="both"/>
              <w:rPr>
                <w:rFonts w:ascii="Times New Roman" w:hAnsi="Times New Roman"/>
                <w:b/>
                <w:sz w:val="24"/>
                <w:szCs w:val="24"/>
                <w:lang w:val="lt-LT"/>
              </w:rPr>
            </w:pPr>
            <w:r w:rsidRPr="008559DC">
              <w:rPr>
                <w:rFonts w:ascii="Times New Roman" w:hAnsi="Times New Roman"/>
                <w:b/>
                <w:sz w:val="24"/>
                <w:szCs w:val="24"/>
                <w:lang w:val="lt-LT"/>
              </w:rPr>
              <w:t>Dėl šilumos vartotojų permokos už gamtines dujas grąžinimo</w:t>
            </w:r>
          </w:p>
        </w:tc>
        <w:tc>
          <w:tcPr>
            <w:tcW w:w="6149" w:type="dxa"/>
          </w:tcPr>
          <w:p w:rsidR="002B3EE5" w:rsidRPr="0074330B" w:rsidRDefault="002B3EE5" w:rsidP="007D1744">
            <w:pPr>
              <w:pStyle w:val="ListParagraph"/>
              <w:numPr>
                <w:ilvl w:val="0"/>
                <w:numId w:val="4"/>
              </w:numPr>
              <w:rPr>
                <w:szCs w:val="20"/>
              </w:rPr>
            </w:pPr>
            <w:r w:rsidRPr="00C90256">
              <w:rPr>
                <w:szCs w:val="24"/>
              </w:rPr>
              <w:t xml:space="preserve">2015-10-14 </w:t>
            </w:r>
            <w:r>
              <w:rPr>
                <w:szCs w:val="24"/>
              </w:rPr>
              <w:t xml:space="preserve">vyko </w:t>
            </w:r>
            <w:r w:rsidRPr="00C90256">
              <w:rPr>
                <w:szCs w:val="24"/>
              </w:rPr>
              <w:t>LR Seimo Energetikos komisijos posėdis dėl permokos už dujas grąžinimo vartotojams modelio veikimo</w:t>
            </w:r>
            <w:r>
              <w:rPr>
                <w:szCs w:val="24"/>
              </w:rPr>
              <w:t>;</w:t>
            </w:r>
          </w:p>
          <w:p w:rsidR="00246398" w:rsidRPr="002B3EE5" w:rsidRDefault="002B3EE5" w:rsidP="007D1744">
            <w:pPr>
              <w:pStyle w:val="ListParagraph"/>
              <w:numPr>
                <w:ilvl w:val="0"/>
                <w:numId w:val="11"/>
              </w:numPr>
              <w:rPr>
                <w:b/>
                <w:szCs w:val="24"/>
              </w:rPr>
            </w:pPr>
            <w:r w:rsidRPr="002B3EE5">
              <w:rPr>
                <w:szCs w:val="24"/>
              </w:rPr>
              <w:t xml:space="preserve">LŠTA skaičiavimais iki 2015 m. spalio mėn. šilumos tiekimo įmonėms grąžinta 2,8 mln. </w:t>
            </w:r>
            <w:proofErr w:type="spellStart"/>
            <w:r w:rsidRPr="002B3EE5">
              <w:rPr>
                <w:szCs w:val="24"/>
              </w:rPr>
              <w:t>eur</w:t>
            </w:r>
            <w:proofErr w:type="spellEnd"/>
            <w:r w:rsidRPr="002B3EE5">
              <w:rPr>
                <w:szCs w:val="24"/>
              </w:rPr>
              <w:t xml:space="preserve"> arba apie 9 proc. nuo grąžintinos sumos (32,9 </w:t>
            </w:r>
            <w:proofErr w:type="spellStart"/>
            <w:r w:rsidRPr="002B3EE5">
              <w:rPr>
                <w:szCs w:val="24"/>
              </w:rPr>
              <w:t>mln.eur</w:t>
            </w:r>
            <w:proofErr w:type="spellEnd"/>
            <w:r w:rsidRPr="002B3EE5">
              <w:rPr>
                <w:szCs w:val="24"/>
              </w:rPr>
              <w:t>)</w:t>
            </w:r>
          </w:p>
        </w:tc>
      </w:tr>
      <w:tr w:rsidR="00246398" w:rsidRPr="00BD7F7C" w:rsidTr="00BD7F7C">
        <w:trPr>
          <w:trHeight w:val="510"/>
        </w:trPr>
        <w:tc>
          <w:tcPr>
            <w:tcW w:w="614" w:type="dxa"/>
          </w:tcPr>
          <w:p w:rsidR="00246398" w:rsidRPr="008559DC" w:rsidRDefault="008559DC" w:rsidP="008559DC">
            <w:pPr>
              <w:jc w:val="center"/>
              <w:rPr>
                <w:rFonts w:ascii="Times New Roman" w:hAnsi="Times New Roman"/>
                <w:b/>
                <w:sz w:val="24"/>
                <w:szCs w:val="24"/>
                <w:lang w:val="lt-LT"/>
              </w:rPr>
            </w:pPr>
            <w:r>
              <w:rPr>
                <w:rFonts w:ascii="Times New Roman" w:hAnsi="Times New Roman"/>
                <w:b/>
                <w:sz w:val="24"/>
                <w:szCs w:val="24"/>
                <w:lang w:val="lt-LT"/>
              </w:rPr>
              <w:t>5</w:t>
            </w:r>
            <w:r w:rsidR="002832FE">
              <w:rPr>
                <w:rFonts w:ascii="Times New Roman" w:hAnsi="Times New Roman"/>
                <w:b/>
                <w:sz w:val="24"/>
                <w:szCs w:val="24"/>
                <w:lang w:val="lt-LT"/>
              </w:rPr>
              <w:t>.</w:t>
            </w:r>
          </w:p>
        </w:tc>
        <w:tc>
          <w:tcPr>
            <w:tcW w:w="3977" w:type="dxa"/>
          </w:tcPr>
          <w:p w:rsidR="00246398" w:rsidRPr="008D4C44" w:rsidRDefault="00DA1EE9" w:rsidP="008A459D">
            <w:pPr>
              <w:rPr>
                <w:szCs w:val="24"/>
                <w:lang w:val="lt-LT"/>
              </w:rPr>
            </w:pPr>
            <w:r w:rsidRPr="00DA1EE9">
              <w:rPr>
                <w:rFonts w:ascii="Times New Roman" w:hAnsi="Times New Roman"/>
                <w:b/>
                <w:bCs/>
                <w:sz w:val="24"/>
                <w:szCs w:val="24"/>
                <w:lang w:val="lt-LT"/>
              </w:rPr>
              <w:t>Dėl gamtinių dujų įsigijimo 2016 m</w:t>
            </w:r>
            <w:r w:rsidR="008A459D">
              <w:rPr>
                <w:rFonts w:ascii="Times New Roman" w:hAnsi="Times New Roman"/>
                <w:b/>
                <w:bCs/>
                <w:sz w:val="24"/>
                <w:szCs w:val="24"/>
                <w:lang w:val="lt-LT"/>
              </w:rPr>
              <w:t>etais tvarkos</w:t>
            </w:r>
          </w:p>
        </w:tc>
        <w:tc>
          <w:tcPr>
            <w:tcW w:w="6149" w:type="dxa"/>
          </w:tcPr>
          <w:p w:rsidR="00DA1EE9" w:rsidRPr="00552B00" w:rsidRDefault="00DA1EE9" w:rsidP="007D1744">
            <w:pPr>
              <w:pStyle w:val="ListParagraph"/>
              <w:numPr>
                <w:ilvl w:val="0"/>
                <w:numId w:val="15"/>
              </w:numPr>
              <w:contextualSpacing w:val="0"/>
              <w:jc w:val="left"/>
              <w:rPr>
                <w:szCs w:val="24"/>
              </w:rPr>
            </w:pPr>
            <w:r w:rsidRPr="00552B00">
              <w:rPr>
                <w:szCs w:val="24"/>
              </w:rPr>
              <w:t xml:space="preserve">Vadovaujantis 2015-12-02 d. LRV patvirtintu  Gamtinių dujų tiekimo diversifikavimo tvarkos aprašo pakeitimu, šilumos tiekimo įmonės </w:t>
            </w:r>
            <w:r w:rsidRPr="00552B00">
              <w:rPr>
                <w:bCs/>
                <w:szCs w:val="24"/>
              </w:rPr>
              <w:t>per 7 darbo dienas nuo šio teisės akto įsigaliojimo dienos</w:t>
            </w:r>
            <w:r w:rsidRPr="00552B00">
              <w:rPr>
                <w:szCs w:val="24"/>
              </w:rPr>
              <w:t xml:space="preserve"> (iki gruodžio 14 d.) privalėjo deklaruoti maksimalius paros jiems reikalingus dujų sistemos pajėgumus kiekvienoje gamtinių dujų pristatymo vietoje, kurių gali prireikti 2016 metais.</w:t>
            </w:r>
          </w:p>
          <w:p w:rsidR="00DA1EE9" w:rsidRPr="00552B00" w:rsidRDefault="00DA1EE9" w:rsidP="007D1744">
            <w:pPr>
              <w:pStyle w:val="ListParagraph"/>
              <w:numPr>
                <w:ilvl w:val="0"/>
                <w:numId w:val="15"/>
              </w:numPr>
              <w:contextualSpacing w:val="0"/>
              <w:jc w:val="left"/>
              <w:rPr>
                <w:szCs w:val="24"/>
              </w:rPr>
            </w:pPr>
            <w:r w:rsidRPr="00552B00">
              <w:rPr>
                <w:szCs w:val="24"/>
              </w:rPr>
              <w:t xml:space="preserve">2015-12-15 Komisija savo nutarimu patvirtino </w:t>
            </w:r>
            <w:r w:rsidRPr="00552B00">
              <w:rPr>
                <w:i/>
                <w:iCs/>
                <w:szCs w:val="24"/>
              </w:rPr>
              <w:t xml:space="preserve">Prognozuojamos gamtinių dujų rinkos kainos nustatymo metodiką. </w:t>
            </w:r>
            <w:r w:rsidRPr="00552B00">
              <w:rPr>
                <w:szCs w:val="24"/>
              </w:rPr>
              <w:t xml:space="preserve">Vadovaujantis metodika, </w:t>
            </w:r>
            <w:r w:rsidRPr="00552B00">
              <w:rPr>
                <w:szCs w:val="24"/>
              </w:rPr>
              <w:lastRenderedPageBreak/>
              <w:t>Komisija kas pusmetį gali koreguoti rinkos kainą iki 10 proc. ribos</w:t>
            </w:r>
          </w:p>
          <w:p w:rsidR="00DA1EE9" w:rsidRPr="00552B00" w:rsidRDefault="00DA1EE9" w:rsidP="007D1744">
            <w:pPr>
              <w:pStyle w:val="ListParagraph"/>
              <w:numPr>
                <w:ilvl w:val="0"/>
                <w:numId w:val="15"/>
              </w:numPr>
              <w:contextualSpacing w:val="0"/>
              <w:jc w:val="left"/>
              <w:rPr>
                <w:szCs w:val="24"/>
              </w:rPr>
            </w:pPr>
            <w:r w:rsidRPr="00552B00">
              <w:rPr>
                <w:szCs w:val="24"/>
              </w:rPr>
              <w:t>2015-12-17 Komisijos posėdyje patvirtinta UAB „</w:t>
            </w:r>
            <w:proofErr w:type="spellStart"/>
            <w:r w:rsidRPr="00552B00">
              <w:rPr>
                <w:szCs w:val="24"/>
              </w:rPr>
              <w:t>Litgas</w:t>
            </w:r>
            <w:proofErr w:type="spellEnd"/>
            <w:r w:rsidRPr="00552B00">
              <w:rPr>
                <w:szCs w:val="24"/>
              </w:rPr>
              <w:t xml:space="preserve">“ parengta nauja </w:t>
            </w:r>
            <w:r w:rsidRPr="00552B00">
              <w:rPr>
                <w:bCs/>
                <w:i/>
                <w:iCs/>
                <w:szCs w:val="24"/>
              </w:rPr>
              <w:t>Paskirtojo tiekėjo prognozuojamos gamtinių dujų įsigijimo kainos energijos gamintojams nustatymo tvarkos</w:t>
            </w:r>
            <w:r w:rsidRPr="00552B00">
              <w:rPr>
                <w:szCs w:val="24"/>
              </w:rPr>
              <w:t xml:space="preserve"> redakcija. Paskirtojo tiekėjo prognozuojamos gamtinių dujų įsigijimo kainos energijos gamintojams nustatymo tvarka bus taikoma iki 2015 m. gruodžio 31 d., nes LR suskystintų gamtinių dujų terminalo įstatymo Nr. XI-2053 2, 5 ir 11 straipsnių pakeitimo įstatyme, kuris įsigalioja 2016 m. sausio 1 d., numatyta, kad valstybės reguliuojami energijos gamintojai paskirtąjį kiekį turės įsigyti už Komisijos nustatytą rinkos kainą.</w:t>
            </w:r>
          </w:p>
          <w:p w:rsidR="00DA1EE9" w:rsidRPr="00552B00" w:rsidRDefault="00DA1EE9" w:rsidP="007D1744">
            <w:pPr>
              <w:pStyle w:val="ListParagraph"/>
              <w:numPr>
                <w:ilvl w:val="0"/>
                <w:numId w:val="15"/>
              </w:numPr>
              <w:ind w:left="317" w:firstLine="0"/>
              <w:contextualSpacing w:val="0"/>
              <w:jc w:val="center"/>
              <w:rPr>
                <w:szCs w:val="24"/>
              </w:rPr>
            </w:pPr>
            <w:r w:rsidRPr="00552B00">
              <w:rPr>
                <w:szCs w:val="24"/>
              </w:rPr>
              <w:t xml:space="preserve">2015-12-17 Komisijos posėdyje patvirtintas </w:t>
            </w:r>
            <w:r w:rsidRPr="00552B00">
              <w:rPr>
                <w:i/>
                <w:iCs/>
                <w:szCs w:val="24"/>
              </w:rPr>
              <w:t>Valstybės reguliuojamų ka</w:t>
            </w:r>
            <w:r w:rsidR="00552B00">
              <w:rPr>
                <w:i/>
                <w:iCs/>
                <w:szCs w:val="24"/>
              </w:rPr>
              <w:t xml:space="preserve">inų gamtinių </w:t>
            </w:r>
            <w:r w:rsidRPr="00552B00">
              <w:rPr>
                <w:i/>
                <w:iCs/>
                <w:szCs w:val="24"/>
              </w:rPr>
              <w:t xml:space="preserve">dujų sektoriuje nustatymo metodikos </w:t>
            </w:r>
            <w:r w:rsidRPr="00552B00">
              <w:rPr>
                <w:szCs w:val="24"/>
              </w:rPr>
              <w:t>pakeitimas.</w:t>
            </w:r>
          </w:p>
          <w:p w:rsidR="00DA1EE9" w:rsidRPr="00552B00" w:rsidRDefault="00DA1EE9" w:rsidP="007D1744">
            <w:pPr>
              <w:pStyle w:val="ListParagraph"/>
              <w:numPr>
                <w:ilvl w:val="0"/>
                <w:numId w:val="15"/>
              </w:numPr>
              <w:contextualSpacing w:val="0"/>
              <w:rPr>
                <w:szCs w:val="24"/>
              </w:rPr>
            </w:pPr>
            <w:r w:rsidRPr="00552B00">
              <w:rPr>
                <w:szCs w:val="24"/>
              </w:rPr>
              <w:t>2015-12-18 Komisija</w:t>
            </w:r>
            <w:r w:rsidR="00552B00" w:rsidRPr="00552B00">
              <w:rPr>
                <w:szCs w:val="24"/>
              </w:rPr>
              <w:t xml:space="preserve"> </w:t>
            </w:r>
            <w:r w:rsidRPr="00552B00">
              <w:rPr>
                <w:szCs w:val="24"/>
              </w:rPr>
              <w:t xml:space="preserve">patvirtino prognozuojamą gamtinių dujų rinkos kainą 2016 metams – 16,96 </w:t>
            </w:r>
            <w:proofErr w:type="spellStart"/>
            <w:r w:rsidRPr="00552B00">
              <w:rPr>
                <w:szCs w:val="24"/>
              </w:rPr>
              <w:t>Eur</w:t>
            </w:r>
            <w:proofErr w:type="spellEnd"/>
            <w:r w:rsidRPr="00552B00">
              <w:rPr>
                <w:szCs w:val="24"/>
              </w:rPr>
              <w:t>/</w:t>
            </w:r>
            <w:proofErr w:type="spellStart"/>
            <w:r w:rsidRPr="00552B00">
              <w:rPr>
                <w:szCs w:val="24"/>
              </w:rPr>
              <w:t>MWh</w:t>
            </w:r>
            <w:proofErr w:type="spellEnd"/>
            <w:r w:rsidRPr="00552B00">
              <w:rPr>
                <w:szCs w:val="24"/>
              </w:rPr>
              <w:t>.</w:t>
            </w:r>
          </w:p>
          <w:p w:rsidR="00DA1EE9" w:rsidRPr="00552B00" w:rsidRDefault="00DA1EE9" w:rsidP="007D1744">
            <w:pPr>
              <w:pStyle w:val="ListParagraph"/>
              <w:numPr>
                <w:ilvl w:val="0"/>
                <w:numId w:val="15"/>
              </w:numPr>
              <w:contextualSpacing w:val="0"/>
              <w:rPr>
                <w:szCs w:val="24"/>
              </w:rPr>
            </w:pPr>
            <w:r w:rsidRPr="00552B00">
              <w:rPr>
                <w:szCs w:val="24"/>
              </w:rPr>
              <w:t>2015-12-17 Komisija pakoregavo Suskystintų gamtinių dujų terminalo, jo infrastruktūros ir jungties įrengimo bei eksploatavimo sąnaudoms ar jų daliai kompensuoti skirtų lėšų administravimo tvarkos aprašą;</w:t>
            </w:r>
          </w:p>
          <w:p w:rsidR="00246398" w:rsidRPr="008559DC" w:rsidRDefault="00DA1EE9" w:rsidP="007D1744">
            <w:pPr>
              <w:pStyle w:val="ListParagraph"/>
              <w:numPr>
                <w:ilvl w:val="0"/>
                <w:numId w:val="5"/>
              </w:numPr>
              <w:rPr>
                <w:b/>
                <w:szCs w:val="24"/>
              </w:rPr>
            </w:pPr>
            <w:r w:rsidRPr="00552B00">
              <w:rPr>
                <w:szCs w:val="24"/>
              </w:rPr>
              <w:t xml:space="preserve">Iki 2015-12-31 šilumos tiekimo įmonės įsigydamos gamtines dujas prie gamtinių dujų produkto kainos dar papildomai patiria kitas sąnaudas: </w:t>
            </w:r>
            <w:r w:rsidRPr="00552B00">
              <w:rPr>
                <w:i/>
                <w:szCs w:val="24"/>
              </w:rPr>
              <w:t>gamtinių dujų skirstymo, perdavimo, galios, nenutrūkstamo gamtinių dujų tiekimo, terminalo mokesčio, biržos mokesčio</w:t>
            </w:r>
            <w:r w:rsidRPr="00552B00">
              <w:rPr>
                <w:szCs w:val="24"/>
              </w:rPr>
              <w:t xml:space="preserve"> ir kt. Nuo 2016-01-01 </w:t>
            </w:r>
            <w:r w:rsidR="00552B00">
              <w:rPr>
                <w:szCs w:val="24"/>
              </w:rPr>
              <w:t>i</w:t>
            </w:r>
            <w:r w:rsidRPr="00552B00">
              <w:rPr>
                <w:szCs w:val="24"/>
              </w:rPr>
              <w:t>šliks į pagrįstas sąnaudas įtraukiamos visos aukščiau išvardintos sąnaudos, tik „</w:t>
            </w:r>
            <w:r w:rsidRPr="00552B00">
              <w:rPr>
                <w:i/>
                <w:szCs w:val="24"/>
              </w:rPr>
              <w:t>terminalo mokestis</w:t>
            </w:r>
            <w:r w:rsidRPr="00552B00">
              <w:rPr>
                <w:szCs w:val="24"/>
              </w:rPr>
              <w:t>“ bus keičiamas į „</w:t>
            </w:r>
            <w:r w:rsidRPr="00552B00">
              <w:rPr>
                <w:i/>
                <w:szCs w:val="24"/>
              </w:rPr>
              <w:t>vartojimo pajėgumų mokestį</w:t>
            </w:r>
            <w:r w:rsidRPr="00552B00">
              <w:rPr>
                <w:szCs w:val="24"/>
              </w:rPr>
              <w:t>“.</w:t>
            </w:r>
          </w:p>
        </w:tc>
      </w:tr>
      <w:tr w:rsidR="00246398" w:rsidRPr="00BD7F7C" w:rsidTr="00BD7F7C">
        <w:trPr>
          <w:trHeight w:val="510"/>
        </w:trPr>
        <w:tc>
          <w:tcPr>
            <w:tcW w:w="614" w:type="dxa"/>
          </w:tcPr>
          <w:p w:rsidR="00246398" w:rsidRPr="008559DC" w:rsidRDefault="008559DC" w:rsidP="008559DC">
            <w:pPr>
              <w:jc w:val="center"/>
              <w:rPr>
                <w:rFonts w:ascii="Times New Roman" w:hAnsi="Times New Roman"/>
                <w:b/>
                <w:sz w:val="24"/>
                <w:szCs w:val="24"/>
                <w:lang w:val="lt-LT"/>
              </w:rPr>
            </w:pPr>
            <w:r>
              <w:rPr>
                <w:rFonts w:ascii="Times New Roman" w:hAnsi="Times New Roman"/>
                <w:b/>
                <w:sz w:val="24"/>
                <w:szCs w:val="24"/>
                <w:lang w:val="lt-LT"/>
              </w:rPr>
              <w:lastRenderedPageBreak/>
              <w:t>6</w:t>
            </w:r>
            <w:r w:rsidR="002832FE">
              <w:rPr>
                <w:rFonts w:ascii="Times New Roman" w:hAnsi="Times New Roman"/>
                <w:b/>
                <w:sz w:val="24"/>
                <w:szCs w:val="24"/>
                <w:lang w:val="lt-LT"/>
              </w:rPr>
              <w:t>.</w:t>
            </w:r>
          </w:p>
        </w:tc>
        <w:tc>
          <w:tcPr>
            <w:tcW w:w="3977" w:type="dxa"/>
          </w:tcPr>
          <w:p w:rsidR="00246398" w:rsidRPr="008559DC" w:rsidRDefault="00552B00" w:rsidP="00246398">
            <w:pPr>
              <w:jc w:val="both"/>
              <w:rPr>
                <w:rFonts w:ascii="Times New Roman" w:hAnsi="Times New Roman"/>
                <w:b/>
                <w:sz w:val="24"/>
                <w:szCs w:val="24"/>
                <w:lang w:val="lt-LT"/>
              </w:rPr>
            </w:pPr>
            <w:r w:rsidRPr="00092423">
              <w:rPr>
                <w:rFonts w:ascii="Times New Roman" w:hAnsi="Times New Roman"/>
                <w:b/>
                <w:sz w:val="24"/>
                <w:szCs w:val="24"/>
                <w:lang w:val="lt-LT"/>
              </w:rPr>
              <w:t xml:space="preserve">Dėl </w:t>
            </w:r>
            <w:proofErr w:type="spellStart"/>
            <w:r w:rsidRPr="00092423">
              <w:rPr>
                <w:rFonts w:ascii="Times New Roman" w:hAnsi="Times New Roman"/>
                <w:b/>
                <w:sz w:val="24"/>
                <w:szCs w:val="24"/>
                <w:lang w:val="lt-LT"/>
              </w:rPr>
              <w:t>biokogeneracinių</w:t>
            </w:r>
            <w:proofErr w:type="spellEnd"/>
            <w:r w:rsidRPr="00092423">
              <w:rPr>
                <w:rFonts w:ascii="Times New Roman" w:hAnsi="Times New Roman"/>
                <w:b/>
                <w:sz w:val="24"/>
                <w:szCs w:val="24"/>
                <w:lang w:val="lt-LT"/>
              </w:rPr>
              <w:t xml:space="preserve"> jėgainių plėtros veiklos, esant konkurencijai šilumos gamyboje</w:t>
            </w:r>
          </w:p>
        </w:tc>
        <w:tc>
          <w:tcPr>
            <w:tcW w:w="6149" w:type="dxa"/>
          </w:tcPr>
          <w:p w:rsidR="00246398" w:rsidRPr="00552B00" w:rsidRDefault="00552B00" w:rsidP="007D1744">
            <w:pPr>
              <w:pStyle w:val="ListParagraph"/>
              <w:numPr>
                <w:ilvl w:val="0"/>
                <w:numId w:val="12"/>
              </w:numPr>
              <w:rPr>
                <w:b/>
                <w:szCs w:val="24"/>
              </w:rPr>
            </w:pPr>
            <w:r w:rsidRPr="00552B00">
              <w:rPr>
                <w:szCs w:val="24"/>
              </w:rPr>
              <w:t>2015-12-02 LRS energetikos komisija nagrinėjo klausimą „Dėl biomasės elektrinių kvotos“</w:t>
            </w:r>
          </w:p>
        </w:tc>
      </w:tr>
      <w:tr w:rsidR="00246398" w:rsidRPr="00BD7F7C" w:rsidTr="00BD7F7C">
        <w:trPr>
          <w:trHeight w:val="510"/>
        </w:trPr>
        <w:tc>
          <w:tcPr>
            <w:tcW w:w="614" w:type="dxa"/>
          </w:tcPr>
          <w:p w:rsidR="00246398" w:rsidRPr="008559DC" w:rsidRDefault="008559DC" w:rsidP="008559DC">
            <w:pPr>
              <w:jc w:val="center"/>
              <w:rPr>
                <w:rFonts w:ascii="Times New Roman" w:hAnsi="Times New Roman"/>
                <w:b/>
                <w:sz w:val="24"/>
                <w:szCs w:val="24"/>
                <w:lang w:val="lt-LT"/>
              </w:rPr>
            </w:pPr>
            <w:r>
              <w:rPr>
                <w:rFonts w:ascii="Times New Roman" w:hAnsi="Times New Roman"/>
                <w:b/>
                <w:sz w:val="24"/>
                <w:szCs w:val="24"/>
                <w:lang w:val="lt-LT"/>
              </w:rPr>
              <w:t>7</w:t>
            </w:r>
            <w:r w:rsidR="00246398" w:rsidRPr="008559DC">
              <w:rPr>
                <w:rFonts w:ascii="Times New Roman" w:hAnsi="Times New Roman"/>
                <w:b/>
                <w:sz w:val="24"/>
                <w:szCs w:val="24"/>
                <w:lang w:val="lt-LT"/>
              </w:rPr>
              <w:t>.</w:t>
            </w:r>
          </w:p>
        </w:tc>
        <w:tc>
          <w:tcPr>
            <w:tcW w:w="3977" w:type="dxa"/>
          </w:tcPr>
          <w:p w:rsidR="00246398" w:rsidRPr="005E1BE5" w:rsidRDefault="00246398" w:rsidP="00415682">
            <w:pPr>
              <w:ind w:left="34"/>
              <w:jc w:val="both"/>
              <w:rPr>
                <w:b/>
                <w:szCs w:val="24"/>
                <w:lang w:val="lt-LT"/>
              </w:rPr>
            </w:pPr>
            <w:r w:rsidRPr="008559DC">
              <w:rPr>
                <w:rFonts w:ascii="Times New Roman" w:hAnsi="Times New Roman"/>
                <w:b/>
                <w:sz w:val="24"/>
                <w:szCs w:val="24"/>
                <w:lang w:val="lt-LT"/>
              </w:rPr>
              <w:t>Dėl šilumos gamybai naudojamo kuro pirkimo tvarkos reglamentavimo ir susijusių teisės aktų suderinimo („277“)</w:t>
            </w:r>
          </w:p>
        </w:tc>
        <w:tc>
          <w:tcPr>
            <w:tcW w:w="6149" w:type="dxa"/>
          </w:tcPr>
          <w:p w:rsidR="0019743B" w:rsidRPr="0019743B" w:rsidRDefault="0019743B" w:rsidP="007D1744">
            <w:pPr>
              <w:pStyle w:val="ListParagraph"/>
              <w:numPr>
                <w:ilvl w:val="0"/>
                <w:numId w:val="8"/>
              </w:numPr>
              <w:contextualSpacing w:val="0"/>
              <w:rPr>
                <w:szCs w:val="24"/>
              </w:rPr>
            </w:pPr>
            <w:r w:rsidRPr="0019743B">
              <w:rPr>
                <w:szCs w:val="24"/>
              </w:rPr>
              <w:t xml:space="preserve">2015-09-21 VKEKK rinkos dalyviams išsiuntė raštą (išaiškinimą) „Dėl biokuro prekybos energijos išteklių biržoje probleminių klausimų“. Dėl ilgalaikių sandorių biržoje klausimas nėra iki galo atsakytas. </w:t>
            </w:r>
          </w:p>
          <w:p w:rsidR="0019743B" w:rsidRPr="0019743B" w:rsidRDefault="0019743B" w:rsidP="007D1744">
            <w:pPr>
              <w:pStyle w:val="ListParagraph"/>
              <w:numPr>
                <w:ilvl w:val="0"/>
                <w:numId w:val="8"/>
              </w:numPr>
              <w:contextualSpacing w:val="0"/>
              <w:jc w:val="left"/>
            </w:pPr>
            <w:r w:rsidRPr="0019743B">
              <w:t>2015-10-09 LŠTA raštas Nr. 105 Komisijai „Dėl biokuro prekybos energijos išteklių biržoje“. Rašte Komisijai suformuluoti klausimas – ar visais atvejais biržoje įsigyto kuro faktines sąnaudas Komisija pripažins pagrįstomis?</w:t>
            </w:r>
          </w:p>
          <w:p w:rsidR="00246398" w:rsidRPr="008559DC" w:rsidRDefault="0019743B" w:rsidP="007D1744">
            <w:pPr>
              <w:pStyle w:val="ListParagraph"/>
              <w:numPr>
                <w:ilvl w:val="0"/>
                <w:numId w:val="13"/>
              </w:numPr>
              <w:rPr>
                <w:b/>
                <w:szCs w:val="24"/>
              </w:rPr>
            </w:pPr>
            <w:r w:rsidRPr="0019743B">
              <w:t xml:space="preserve">2015-11-26 Komisijos atsakymas į LŠTA 2015-10-09 raštą Nr. 105, kuriame pažymima, kad </w:t>
            </w:r>
            <w:r w:rsidRPr="0019743B">
              <w:rPr>
                <w:i/>
              </w:rPr>
              <w:t xml:space="preserve">energijos išteklių biržoje įsigyto biokuro sąnaudų ribojimo netaikymas neatleidžia nuo pareigos dėti visas objektyviai įmanomas ir pagrįstas pastangas </w:t>
            </w:r>
            <w:r w:rsidRPr="0019743B">
              <w:rPr>
                <w:i/>
              </w:rPr>
              <w:lastRenderedPageBreak/>
              <w:t>užtikrinti, kad jog biokuras energijos išteklių biržoje būtų įsigytas mažiausiomis sąnaudomis</w:t>
            </w:r>
            <w:r w:rsidR="00246398" w:rsidRPr="0019743B">
              <w:rPr>
                <w:szCs w:val="24"/>
              </w:rPr>
              <w:t>.</w:t>
            </w:r>
          </w:p>
        </w:tc>
      </w:tr>
      <w:tr w:rsidR="00246398" w:rsidRPr="008559DC" w:rsidTr="00BD7F7C">
        <w:trPr>
          <w:trHeight w:val="510"/>
        </w:trPr>
        <w:tc>
          <w:tcPr>
            <w:tcW w:w="614" w:type="dxa"/>
          </w:tcPr>
          <w:p w:rsidR="00246398"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lastRenderedPageBreak/>
              <w:t>8</w:t>
            </w:r>
            <w:r w:rsidR="00246398" w:rsidRPr="008559DC">
              <w:rPr>
                <w:rFonts w:ascii="Times New Roman" w:hAnsi="Times New Roman"/>
                <w:b/>
                <w:sz w:val="24"/>
                <w:szCs w:val="24"/>
                <w:lang w:val="lt-LT"/>
              </w:rPr>
              <w:t>.</w:t>
            </w:r>
          </w:p>
        </w:tc>
        <w:tc>
          <w:tcPr>
            <w:tcW w:w="3977" w:type="dxa"/>
          </w:tcPr>
          <w:p w:rsidR="00246398" w:rsidRPr="008559DC" w:rsidRDefault="00246398" w:rsidP="000F4B0E">
            <w:pPr>
              <w:ind w:left="34"/>
              <w:jc w:val="both"/>
              <w:rPr>
                <w:rFonts w:ascii="Times New Roman" w:hAnsi="Times New Roman"/>
                <w:b/>
                <w:sz w:val="24"/>
                <w:szCs w:val="24"/>
                <w:lang w:val="lt-LT"/>
              </w:rPr>
            </w:pPr>
            <w:r w:rsidRPr="00570162">
              <w:rPr>
                <w:rFonts w:ascii="Times New Roman" w:hAnsi="Times New Roman"/>
                <w:b/>
                <w:sz w:val="24"/>
                <w:szCs w:val="24"/>
                <w:lang w:val="lt-LT"/>
              </w:rPr>
              <w:t>Šilumos supirkimas iš Nepriklausomų šilumos gamintojų</w:t>
            </w:r>
            <w:r w:rsidR="00AD3E3F" w:rsidRPr="00570162">
              <w:rPr>
                <w:rFonts w:ascii="Times New Roman" w:hAnsi="Times New Roman"/>
                <w:b/>
                <w:sz w:val="24"/>
                <w:szCs w:val="24"/>
                <w:lang w:val="lt-LT"/>
              </w:rPr>
              <w:t xml:space="preserve"> (planuojama prekyba šiluma biržoje)</w:t>
            </w:r>
          </w:p>
          <w:p w:rsidR="00246398" w:rsidRPr="00BD7F7C" w:rsidRDefault="00246398" w:rsidP="00B41C44">
            <w:pPr>
              <w:jc w:val="both"/>
              <w:rPr>
                <w:rFonts w:ascii="Times New Roman" w:hAnsi="Times New Roman"/>
                <w:sz w:val="24"/>
                <w:szCs w:val="24"/>
                <w:lang w:val="lt-LT"/>
              </w:rPr>
            </w:pPr>
          </w:p>
        </w:tc>
        <w:tc>
          <w:tcPr>
            <w:tcW w:w="6149" w:type="dxa"/>
          </w:tcPr>
          <w:p w:rsidR="00246398" w:rsidRPr="0019743B" w:rsidRDefault="0019743B" w:rsidP="007D1744">
            <w:pPr>
              <w:pStyle w:val="ListParagraph"/>
              <w:numPr>
                <w:ilvl w:val="0"/>
                <w:numId w:val="10"/>
              </w:numPr>
              <w:rPr>
                <w:b/>
                <w:szCs w:val="24"/>
              </w:rPr>
            </w:pPr>
            <w:r w:rsidRPr="0019743B">
              <w:rPr>
                <w:szCs w:val="24"/>
              </w:rPr>
              <w:t xml:space="preserve">LR energetikos ministerijos 2015-12-10 d. pateikti derinimui </w:t>
            </w:r>
            <w:r w:rsidRPr="0019743B">
              <w:rPr>
                <w:rFonts w:eastAsia="Times New Roman"/>
                <w:i/>
                <w:szCs w:val="24"/>
              </w:rPr>
              <w:t>LR šilumos ūkio įstatymo Nr. IX-1565 2, 10 ir 30 straipsnių pakeitimo ir įstatymo papildymo 10</w:t>
            </w:r>
            <w:r w:rsidRPr="0019743B">
              <w:rPr>
                <w:rFonts w:eastAsia="Times New Roman"/>
                <w:i/>
                <w:szCs w:val="24"/>
                <w:vertAlign w:val="superscript"/>
              </w:rPr>
              <w:t>1</w:t>
            </w:r>
            <w:r w:rsidRPr="0019743B">
              <w:rPr>
                <w:rFonts w:eastAsia="Times New Roman"/>
                <w:i/>
                <w:szCs w:val="24"/>
              </w:rPr>
              <w:t xml:space="preserve"> straipsniu įstatymo</w:t>
            </w:r>
            <w:r w:rsidRPr="0019743B">
              <w:rPr>
                <w:rFonts w:eastAsia="Times New Roman"/>
                <w:szCs w:val="24"/>
              </w:rPr>
              <w:t xml:space="preserve"> ir LR energijos išteklių rinkos įstatymo Nr. XI-2023 13 ir 16 straipsnių pakeitimo įstatymo projektai</w:t>
            </w:r>
          </w:p>
        </w:tc>
      </w:tr>
      <w:tr w:rsidR="00246398" w:rsidRPr="00BD7F7C" w:rsidTr="00BD7F7C">
        <w:trPr>
          <w:trHeight w:val="510"/>
        </w:trPr>
        <w:tc>
          <w:tcPr>
            <w:tcW w:w="614" w:type="dxa"/>
          </w:tcPr>
          <w:p w:rsidR="00246398"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t>9</w:t>
            </w:r>
            <w:r w:rsidR="00246398" w:rsidRPr="008559DC">
              <w:rPr>
                <w:rFonts w:ascii="Times New Roman" w:hAnsi="Times New Roman"/>
                <w:b/>
                <w:sz w:val="24"/>
                <w:szCs w:val="24"/>
                <w:lang w:val="lt-LT"/>
              </w:rPr>
              <w:t>.</w:t>
            </w:r>
          </w:p>
        </w:tc>
        <w:tc>
          <w:tcPr>
            <w:tcW w:w="3977" w:type="dxa"/>
          </w:tcPr>
          <w:p w:rsidR="00246398" w:rsidRPr="008559DC" w:rsidRDefault="00246398" w:rsidP="00415682">
            <w:pPr>
              <w:ind w:left="34"/>
              <w:jc w:val="both"/>
              <w:rPr>
                <w:szCs w:val="24"/>
              </w:rPr>
            </w:pPr>
            <w:r w:rsidRPr="008559DC">
              <w:rPr>
                <w:rFonts w:ascii="Times New Roman" w:hAnsi="Times New Roman"/>
                <w:b/>
                <w:sz w:val="24"/>
                <w:szCs w:val="24"/>
                <w:lang w:val="lt-LT"/>
              </w:rPr>
              <w:t>Dėl Medienos kuro pelenų tvarkymo ir naudojimo praktikos</w:t>
            </w:r>
            <w:r w:rsidRPr="008559DC">
              <w:rPr>
                <w:rFonts w:ascii="Times New Roman" w:hAnsi="Times New Roman"/>
                <w:sz w:val="24"/>
                <w:szCs w:val="24"/>
                <w:lang w:val="lt-LT"/>
              </w:rPr>
              <w:t>:</w:t>
            </w:r>
          </w:p>
          <w:p w:rsidR="00246398" w:rsidRPr="008559DC" w:rsidRDefault="00246398" w:rsidP="003075E4">
            <w:pPr>
              <w:pStyle w:val="ListParagraph"/>
              <w:ind w:left="754"/>
              <w:rPr>
                <w:szCs w:val="24"/>
              </w:rPr>
            </w:pPr>
          </w:p>
        </w:tc>
        <w:tc>
          <w:tcPr>
            <w:tcW w:w="6149" w:type="dxa"/>
          </w:tcPr>
          <w:p w:rsidR="008559DC" w:rsidRPr="008559DC" w:rsidRDefault="00B94C72" w:rsidP="007D1744">
            <w:pPr>
              <w:pStyle w:val="ListParagraph"/>
              <w:numPr>
                <w:ilvl w:val="0"/>
                <w:numId w:val="3"/>
              </w:numPr>
              <w:rPr>
                <w:b/>
                <w:szCs w:val="24"/>
              </w:rPr>
            </w:pPr>
            <w:r>
              <w:rPr>
                <w:szCs w:val="24"/>
              </w:rPr>
              <w:t>LŠTA kartu su LITBIO</w:t>
            </w:r>
            <w:r w:rsidR="0019743B">
              <w:rPr>
                <w:szCs w:val="24"/>
              </w:rPr>
              <w:t xml:space="preserve">MA mokslo taryba, gavus ES SF 2014-2020 m. paramą (pagal prioritetinės Mokslinių tyrimų, eksperimentinės plėtros ir inovacijų skatinimo raidos kryptį „Energetika ir tvari aplinka“) planuoja </w:t>
            </w:r>
            <w:r w:rsidR="007D1744">
              <w:rPr>
                <w:szCs w:val="24"/>
              </w:rPr>
              <w:t xml:space="preserve">atlikti </w:t>
            </w:r>
            <w:r w:rsidR="00B41C44" w:rsidRPr="008559DC">
              <w:rPr>
                <w:szCs w:val="24"/>
              </w:rPr>
              <w:t>studij</w:t>
            </w:r>
            <w:r w:rsidR="007D1744">
              <w:rPr>
                <w:szCs w:val="24"/>
              </w:rPr>
              <w:t>ą</w:t>
            </w:r>
            <w:r w:rsidR="00B41C44" w:rsidRPr="008559DC">
              <w:rPr>
                <w:szCs w:val="24"/>
              </w:rPr>
              <w:t xml:space="preserve"> tema „Biokuro pelenų panaudojimas civilinėje inžinerijoje (gaminant „žalią</w:t>
            </w:r>
            <w:r w:rsidR="007D1744">
              <w:rPr>
                <w:szCs w:val="24"/>
              </w:rPr>
              <w:t>jį betoną“ ir kelių tiesimui)“. 2015 m. rudenį gauti kelių suinteresuotų pramonės įmonių pasiūlymai dėl pelenų panaudojimo žemės ūkyje ir betono gamybos procese.</w:t>
            </w:r>
          </w:p>
        </w:tc>
      </w:tr>
      <w:tr w:rsidR="00B41C44" w:rsidRPr="00BD7F7C" w:rsidTr="00BD7F7C">
        <w:trPr>
          <w:trHeight w:val="510"/>
        </w:trPr>
        <w:tc>
          <w:tcPr>
            <w:tcW w:w="614" w:type="dxa"/>
          </w:tcPr>
          <w:p w:rsidR="00B41C44"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t>10</w:t>
            </w:r>
            <w:r w:rsidR="00B41C44" w:rsidRPr="008559DC">
              <w:rPr>
                <w:rFonts w:ascii="Times New Roman" w:hAnsi="Times New Roman"/>
                <w:b/>
                <w:sz w:val="24"/>
                <w:szCs w:val="24"/>
                <w:lang w:val="lt-LT"/>
              </w:rPr>
              <w:t>.</w:t>
            </w:r>
          </w:p>
        </w:tc>
        <w:tc>
          <w:tcPr>
            <w:tcW w:w="3977" w:type="dxa"/>
          </w:tcPr>
          <w:p w:rsidR="00B41C44" w:rsidRPr="008559DC" w:rsidRDefault="00B41C44" w:rsidP="00B41C44">
            <w:pPr>
              <w:jc w:val="both"/>
              <w:rPr>
                <w:rFonts w:ascii="Times New Roman" w:hAnsi="Times New Roman"/>
                <w:b/>
                <w:sz w:val="24"/>
                <w:szCs w:val="24"/>
                <w:lang w:val="lt-LT"/>
              </w:rPr>
            </w:pPr>
            <w:r w:rsidRPr="008559DC">
              <w:rPr>
                <w:rFonts w:ascii="Times New Roman" w:hAnsi="Times New Roman"/>
                <w:b/>
                <w:sz w:val="24"/>
                <w:szCs w:val="24"/>
                <w:lang w:val="lt-LT"/>
              </w:rPr>
              <w:t>Dėl šilumos tiekėjams priklausančių šilumos punktų investicijų grąžos</w:t>
            </w:r>
          </w:p>
        </w:tc>
        <w:tc>
          <w:tcPr>
            <w:tcW w:w="6149" w:type="dxa"/>
            <w:vMerge w:val="restart"/>
          </w:tcPr>
          <w:p w:rsidR="000F56E7" w:rsidRPr="000F56E7" w:rsidRDefault="000F56E7" w:rsidP="000F56E7">
            <w:pPr>
              <w:rPr>
                <w:rFonts w:ascii="Times New Roman" w:hAnsi="Times New Roman"/>
                <w:color w:val="000000"/>
                <w:sz w:val="24"/>
                <w:szCs w:val="24"/>
                <w:lang w:val="lt-LT"/>
              </w:rPr>
            </w:pPr>
            <w:r w:rsidRPr="000F56E7">
              <w:rPr>
                <w:rFonts w:ascii="Times New Roman" w:hAnsi="Times New Roman"/>
                <w:sz w:val="24"/>
                <w:szCs w:val="24"/>
                <w:lang w:val="lt-LT"/>
              </w:rPr>
              <w:t xml:space="preserve">2011 m. lapkričio 1 d. įsigaliojus LR šilumos ūkio įstatymo 2, 3, 20, 22, 28, 31, 32 straipsnių pakeitimo ir papildymo įstatymui į šilumos kainą buvo uždrausta įtraukti bet kokias sąnaudas nesusijusias su šilumos </w:t>
            </w:r>
            <w:r w:rsidRPr="000F56E7">
              <w:rPr>
                <w:rFonts w:ascii="Times New Roman" w:hAnsi="Times New Roman"/>
                <w:color w:val="000000"/>
                <w:sz w:val="24"/>
                <w:szCs w:val="24"/>
                <w:lang w:val="lt-LT"/>
              </w:rPr>
              <w:t xml:space="preserve">ir (ar) karšto vandens tiekimo veikla, įskaitant ir šilumos punktų investicijų grąžos ir eksploatacijos sąnaudas. Šilumos tiekimo įmonėms, atlikusioms investicijas, vykdant Nacionalinės energetikos strategijos įgyvendinimo 2008–2012 metų planą, į </w:t>
            </w:r>
            <w:proofErr w:type="spellStart"/>
            <w:r w:rsidRPr="000F56E7">
              <w:rPr>
                <w:rFonts w:ascii="Times New Roman" w:hAnsi="Times New Roman"/>
                <w:color w:val="000000"/>
                <w:sz w:val="24"/>
                <w:szCs w:val="24"/>
                <w:lang w:val="lt-LT"/>
              </w:rPr>
              <w:t>elevatorinių</w:t>
            </w:r>
            <w:proofErr w:type="spellEnd"/>
            <w:r w:rsidRPr="000F56E7">
              <w:rPr>
                <w:rFonts w:ascii="Times New Roman" w:hAnsi="Times New Roman"/>
                <w:color w:val="000000"/>
                <w:sz w:val="24"/>
                <w:szCs w:val="24"/>
                <w:lang w:val="lt-LT"/>
              </w:rPr>
              <w:t xml:space="preserve"> šilumos punktų pakeitimą naujais automatiniais, iki šiol nėra grąžinta virš 100 mln. eurų. Taip pat nėra reglamentuotas sąnaudų padengimas šilumos punktų eksploatacijai. Negana to, įstatymas uždraudė tolimesnį modernių punktų įrengimą, todėl pastatuose, kuriuose vis dar nėra modernių punktų (tokių pastatų Lietuvoje beveik 5000 vnt.), neefektyviai vartojama šiluma, butai peršildomi, o gyventojai permoka už šildymą.</w:t>
            </w:r>
          </w:p>
          <w:p w:rsidR="000F56E7" w:rsidRPr="00092423" w:rsidRDefault="000F56E7" w:rsidP="000F56E7">
            <w:pPr>
              <w:pStyle w:val="ListParagraph"/>
              <w:numPr>
                <w:ilvl w:val="0"/>
                <w:numId w:val="7"/>
              </w:numPr>
              <w:rPr>
                <w:szCs w:val="24"/>
              </w:rPr>
            </w:pPr>
            <w:r>
              <w:rPr>
                <w:szCs w:val="24"/>
              </w:rPr>
              <w:t xml:space="preserve">2015 m. pradžioje EM sudarė </w:t>
            </w:r>
            <w:proofErr w:type="spellStart"/>
            <w:r>
              <w:rPr>
                <w:szCs w:val="24"/>
              </w:rPr>
              <w:t>tarpinstitucinę</w:t>
            </w:r>
            <w:proofErr w:type="spellEnd"/>
            <w:r w:rsidRPr="00092423">
              <w:rPr>
                <w:szCs w:val="24"/>
              </w:rPr>
              <w:t xml:space="preserve"> darbo grup</w:t>
            </w:r>
            <w:r>
              <w:rPr>
                <w:szCs w:val="24"/>
              </w:rPr>
              <w:t>ę</w:t>
            </w:r>
            <w:r w:rsidRPr="00092423">
              <w:rPr>
                <w:szCs w:val="24"/>
              </w:rPr>
              <w:t xml:space="preserve"> „Dėl šilumos ūkio teisinio reglamentavimo tobulinimo“ veiklos (</w:t>
            </w:r>
            <w:r>
              <w:rPr>
                <w:szCs w:val="24"/>
              </w:rPr>
              <w:t>deleguoti P. Diksa ir R. Bakas).</w:t>
            </w:r>
          </w:p>
          <w:p w:rsidR="00B41C44" w:rsidRPr="008A459D" w:rsidRDefault="000F56E7" w:rsidP="000F56E7">
            <w:pPr>
              <w:pStyle w:val="ListParagraph"/>
              <w:numPr>
                <w:ilvl w:val="0"/>
                <w:numId w:val="7"/>
              </w:numPr>
              <w:rPr>
                <w:szCs w:val="24"/>
              </w:rPr>
            </w:pPr>
            <w:r w:rsidRPr="000F56E7">
              <w:rPr>
                <w:szCs w:val="24"/>
              </w:rPr>
              <w:t xml:space="preserve">2015-10-07 LŠTA pasiūlė LRS Energetikos komisijai įtraukti investicijų grąžos </w:t>
            </w:r>
            <w:r w:rsidRPr="000F56E7">
              <w:rPr>
                <w:bCs/>
              </w:rPr>
              <w:t>šilumos tiekimo įmonėms ir eksploatavimo sąnaudų padengimo klausimus į savo darbotvarkę</w:t>
            </w:r>
          </w:p>
          <w:p w:rsidR="008A459D" w:rsidRPr="000F56E7" w:rsidRDefault="008A459D" w:rsidP="000F56E7">
            <w:pPr>
              <w:pStyle w:val="ListParagraph"/>
              <w:numPr>
                <w:ilvl w:val="0"/>
                <w:numId w:val="7"/>
              </w:numPr>
              <w:rPr>
                <w:szCs w:val="24"/>
              </w:rPr>
            </w:pPr>
            <w:r>
              <w:rPr>
                <w:bCs/>
              </w:rPr>
              <w:t>Šie klausimai įvairaus lygio pasitarimuose LŠTA nagrinėti nuo 2011 m. lapkričio mėn.</w:t>
            </w:r>
          </w:p>
        </w:tc>
      </w:tr>
      <w:tr w:rsidR="00B41C44" w:rsidRPr="00BD7F7C" w:rsidTr="00BD7F7C">
        <w:trPr>
          <w:trHeight w:val="510"/>
        </w:trPr>
        <w:tc>
          <w:tcPr>
            <w:tcW w:w="614" w:type="dxa"/>
          </w:tcPr>
          <w:p w:rsidR="00B41C44"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t>11</w:t>
            </w:r>
            <w:r w:rsidR="00B41C44" w:rsidRPr="008559DC">
              <w:rPr>
                <w:rFonts w:ascii="Times New Roman" w:hAnsi="Times New Roman"/>
                <w:b/>
                <w:sz w:val="24"/>
                <w:szCs w:val="24"/>
                <w:lang w:val="lt-LT"/>
              </w:rPr>
              <w:t>.</w:t>
            </w:r>
          </w:p>
        </w:tc>
        <w:tc>
          <w:tcPr>
            <w:tcW w:w="3977" w:type="dxa"/>
          </w:tcPr>
          <w:p w:rsidR="00B41C44" w:rsidRPr="008559DC" w:rsidRDefault="00B41C44" w:rsidP="000F4B0E">
            <w:pPr>
              <w:jc w:val="both"/>
              <w:rPr>
                <w:rFonts w:ascii="Times New Roman" w:hAnsi="Times New Roman"/>
                <w:b/>
                <w:sz w:val="24"/>
                <w:szCs w:val="24"/>
                <w:lang w:val="lt-LT"/>
              </w:rPr>
            </w:pPr>
            <w:r w:rsidRPr="008559DC">
              <w:rPr>
                <w:rFonts w:ascii="Times New Roman" w:hAnsi="Times New Roman"/>
                <w:b/>
                <w:sz w:val="24"/>
                <w:szCs w:val="24"/>
                <w:lang w:val="lt-LT"/>
              </w:rPr>
              <w:t>Dėl šilumos tiekėjams priklausančių šilumos punktų eksploatavimo sąnaudų (ne)padengimo</w:t>
            </w:r>
          </w:p>
          <w:p w:rsidR="00B41C44" w:rsidRPr="008559DC" w:rsidRDefault="00B41C44" w:rsidP="00B41C44">
            <w:pPr>
              <w:pStyle w:val="ListParagraph"/>
              <w:rPr>
                <w:b/>
                <w:szCs w:val="24"/>
              </w:rPr>
            </w:pPr>
          </w:p>
        </w:tc>
        <w:tc>
          <w:tcPr>
            <w:tcW w:w="6149" w:type="dxa"/>
            <w:vMerge/>
          </w:tcPr>
          <w:p w:rsidR="00B41C44" w:rsidRPr="008559DC" w:rsidRDefault="00B41C44" w:rsidP="000F4B0E">
            <w:pPr>
              <w:jc w:val="both"/>
              <w:rPr>
                <w:rFonts w:ascii="Times New Roman" w:hAnsi="Times New Roman"/>
                <w:b/>
                <w:sz w:val="24"/>
                <w:szCs w:val="24"/>
                <w:lang w:val="lt-LT"/>
              </w:rPr>
            </w:pPr>
          </w:p>
        </w:tc>
      </w:tr>
      <w:tr w:rsidR="00246398" w:rsidRPr="00BD7F7C" w:rsidTr="00BD7F7C">
        <w:trPr>
          <w:trHeight w:val="510"/>
        </w:trPr>
        <w:tc>
          <w:tcPr>
            <w:tcW w:w="614" w:type="dxa"/>
          </w:tcPr>
          <w:p w:rsidR="00246398"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t>12</w:t>
            </w:r>
            <w:r w:rsidR="00246398" w:rsidRPr="008559DC">
              <w:rPr>
                <w:rFonts w:ascii="Times New Roman" w:hAnsi="Times New Roman"/>
                <w:b/>
                <w:sz w:val="24"/>
                <w:szCs w:val="24"/>
                <w:lang w:val="lt-LT"/>
              </w:rPr>
              <w:t>.</w:t>
            </w:r>
          </w:p>
        </w:tc>
        <w:tc>
          <w:tcPr>
            <w:tcW w:w="3977" w:type="dxa"/>
          </w:tcPr>
          <w:p w:rsidR="00246398" w:rsidRPr="008559DC" w:rsidRDefault="00246398" w:rsidP="00B41C44">
            <w:pPr>
              <w:jc w:val="both"/>
              <w:rPr>
                <w:rFonts w:ascii="Times New Roman" w:hAnsi="Times New Roman"/>
                <w:sz w:val="24"/>
                <w:szCs w:val="24"/>
                <w:lang w:val="lt-LT"/>
              </w:rPr>
            </w:pPr>
            <w:r w:rsidRPr="008559DC">
              <w:rPr>
                <w:rFonts w:ascii="Times New Roman" w:hAnsi="Times New Roman"/>
                <w:b/>
                <w:sz w:val="24"/>
                <w:szCs w:val="24"/>
                <w:lang w:val="lt-LT"/>
              </w:rPr>
              <w:t>Dėl šilumos ir vandens tiekėjų sutartinių santykių su buitiniais vartotojais, pasirinkusiais 2-ąjį karšto vandens apsirūpinimo būdą</w:t>
            </w:r>
          </w:p>
        </w:tc>
        <w:tc>
          <w:tcPr>
            <w:tcW w:w="6149" w:type="dxa"/>
          </w:tcPr>
          <w:p w:rsidR="00271598" w:rsidRPr="000B1597" w:rsidRDefault="00271598" w:rsidP="00271598">
            <w:pPr>
              <w:pStyle w:val="ListParagraph"/>
              <w:numPr>
                <w:ilvl w:val="0"/>
                <w:numId w:val="9"/>
              </w:numPr>
              <w:rPr>
                <w:szCs w:val="24"/>
              </w:rPr>
            </w:pPr>
            <w:r>
              <w:rPr>
                <w:szCs w:val="24"/>
              </w:rPr>
              <w:t xml:space="preserve">2015-11-11 LRS energetikos komisija nagrinėjo klausimą </w:t>
            </w:r>
            <w:r w:rsidRPr="000B1597">
              <w:rPr>
                <w:szCs w:val="24"/>
              </w:rPr>
              <w:t>Dėl nepakankamo reglamentavimo</w:t>
            </w:r>
            <w:r>
              <w:rPr>
                <w:szCs w:val="24"/>
              </w:rPr>
              <w:t xml:space="preserve"> </w:t>
            </w:r>
            <w:r>
              <w:t xml:space="preserve">vartotojams pasirenkant aprūpinimo karštu vandeniu būdą. </w:t>
            </w:r>
            <w:r w:rsidRPr="00582341">
              <w:rPr>
                <w:rFonts w:eastAsia="Times New Roman"/>
                <w:szCs w:val="24"/>
                <w:lang w:eastAsia="lt-LT"/>
              </w:rPr>
              <w:t xml:space="preserve">Komisijos nariai atkreipė dėmesį, kad minėtas apsirūpinimo karštu vandeniu būdas daugelyje savivaldybių yra įgyvendinamas netinkamai, dėl neaiškiai reglamentuoto būdo pasirinkimo proceso, todėl, dažnu atveju nuostoliai susidarantys tiekiant geriamąjį vandenį karštam vandeniui ruošti (dėl </w:t>
            </w:r>
            <w:r w:rsidRPr="00582341">
              <w:rPr>
                <w:rFonts w:eastAsia="Times New Roman"/>
                <w:szCs w:val="24"/>
                <w:lang w:eastAsia="lt-LT"/>
              </w:rPr>
              <w:lastRenderedPageBreak/>
              <w:t>nesavalaikio deklaravimo, vagysčių, vidaus tiekimo tinklų nepriežiūros ir pan.), priskiriami geriamojo vandens tiekėjui ar šilumos tiekėjui ir įtraukiami į bendrą geriamojo vandens ar šilumos kainą.</w:t>
            </w:r>
            <w:r>
              <w:rPr>
                <w:rFonts w:eastAsia="Times New Roman"/>
                <w:szCs w:val="24"/>
                <w:lang w:eastAsia="lt-LT"/>
              </w:rPr>
              <w:t xml:space="preserve"> </w:t>
            </w:r>
            <w:r w:rsidRPr="000B1597">
              <w:rPr>
                <w:rFonts w:eastAsia="Times New Roman"/>
                <w:szCs w:val="24"/>
                <w:lang w:eastAsia="lt-LT"/>
              </w:rPr>
              <w:t>Komisija siūl</w:t>
            </w:r>
            <w:r>
              <w:rPr>
                <w:rFonts w:eastAsia="Times New Roman"/>
                <w:szCs w:val="24"/>
                <w:lang w:eastAsia="lt-LT"/>
              </w:rPr>
              <w:t>ė</w:t>
            </w:r>
            <w:r w:rsidRPr="000B1597">
              <w:rPr>
                <w:rFonts w:eastAsia="Times New Roman"/>
                <w:szCs w:val="24"/>
                <w:lang w:eastAsia="lt-LT"/>
              </w:rPr>
              <w:t>:</w:t>
            </w:r>
          </w:p>
          <w:p w:rsidR="00271598" w:rsidRPr="000B1597" w:rsidRDefault="00271598" w:rsidP="00271598">
            <w:pPr>
              <w:pStyle w:val="ListParagraph"/>
              <w:rPr>
                <w:szCs w:val="24"/>
              </w:rPr>
            </w:pPr>
            <w:r w:rsidRPr="000B1597">
              <w:rPr>
                <w:szCs w:val="24"/>
              </w:rPr>
              <w:t>Lietuvos Respublikos Vyriausybei:</w:t>
            </w:r>
          </w:p>
          <w:p w:rsidR="00271598" w:rsidRPr="000B1597" w:rsidRDefault="00271598" w:rsidP="00271598">
            <w:pPr>
              <w:pStyle w:val="ListParagraph"/>
              <w:rPr>
                <w:szCs w:val="24"/>
              </w:rPr>
            </w:pPr>
            <w:r w:rsidRPr="000B1597">
              <w:rPr>
                <w:szCs w:val="24"/>
              </w:rPr>
              <w:t xml:space="preserve">1) apsvarstyti galimybę parengti ir pateikti </w:t>
            </w:r>
            <w:r>
              <w:rPr>
                <w:szCs w:val="24"/>
              </w:rPr>
              <w:t>LR</w:t>
            </w:r>
            <w:r w:rsidRPr="000B1597">
              <w:rPr>
                <w:szCs w:val="24"/>
              </w:rPr>
              <w:t xml:space="preserve"> Seimui </w:t>
            </w:r>
            <w:r>
              <w:rPr>
                <w:szCs w:val="24"/>
              </w:rPr>
              <w:t>LR</w:t>
            </w:r>
            <w:r w:rsidRPr="000B1597">
              <w:rPr>
                <w:szCs w:val="24"/>
              </w:rPr>
              <w:t xml:space="preserve"> geriamojo vandens tiekimo ir nuotekų tvarkymo įstatymo pakeitimus, numatančius, kad už geriamąjį vandenį atsiskaitoma pagal įvadinį atsiskaitomąjį geriamojo vandens apskaitos prietaisą (t. y. daugiabučio namo įvade);</w:t>
            </w:r>
          </w:p>
          <w:p w:rsidR="00271598" w:rsidRPr="000B1597" w:rsidRDefault="00271598" w:rsidP="00271598">
            <w:pPr>
              <w:pStyle w:val="ListParagraph"/>
              <w:rPr>
                <w:szCs w:val="24"/>
              </w:rPr>
            </w:pPr>
            <w:r w:rsidRPr="000B1597">
              <w:rPr>
                <w:szCs w:val="24"/>
              </w:rPr>
              <w:t>2) apsvarstyti galimybę pakeisti atsiskaitymo už patiektą geriamąjį vandenį ir nuotekų tvarkymo paslaugas tvarkos aprašą, patvirtintą Vyriausybės 2007 m. sausio 21 d. nutarimu Nr. 127 (toliau – Aprašas), numatant atsiskaitymo už geriamąjį vandenį pagal įvadinį atsiskaitomąjį geriamojo vandens apskaitos prietaisą tvarką (t. y. daugiabučio namo įvade);</w:t>
            </w:r>
          </w:p>
          <w:p w:rsidR="00246398" w:rsidRPr="008559DC" w:rsidRDefault="00271598" w:rsidP="00271598">
            <w:pPr>
              <w:pStyle w:val="ListParagraph"/>
              <w:rPr>
                <w:b/>
                <w:szCs w:val="24"/>
              </w:rPr>
            </w:pPr>
            <w:r w:rsidRPr="000B1597">
              <w:rPr>
                <w:szCs w:val="24"/>
              </w:rPr>
              <w:t xml:space="preserve">3) apsvarstyti galimybę pakeisti Aprašo nuostatas, numatant geriamojo vandens kiekio skirtumo, susidariusio tarp vartotojų deklaruotų rodmenų sumos (pagal atsiskaitomuosius geriamojo vandens skaitiklius bute) ir įvadinio geriamojo vandens skaitiklio (daugiabučio namo įvade) rodmenų, paskirstymo daugiabučio namo </w:t>
            </w:r>
            <w:proofErr w:type="spellStart"/>
            <w:r w:rsidRPr="000B1597">
              <w:rPr>
                <w:szCs w:val="24"/>
              </w:rPr>
              <w:t>bendraturčiams</w:t>
            </w:r>
            <w:proofErr w:type="spellEnd"/>
            <w:r w:rsidRPr="000B1597">
              <w:rPr>
                <w:szCs w:val="24"/>
              </w:rPr>
              <w:t xml:space="preserve"> (vartotojams) tvarką (metodus).</w:t>
            </w:r>
          </w:p>
        </w:tc>
      </w:tr>
      <w:tr w:rsidR="00246398" w:rsidRPr="00271598" w:rsidTr="00BD7F7C">
        <w:trPr>
          <w:trHeight w:val="510"/>
        </w:trPr>
        <w:tc>
          <w:tcPr>
            <w:tcW w:w="614" w:type="dxa"/>
          </w:tcPr>
          <w:p w:rsidR="00246398"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lastRenderedPageBreak/>
              <w:t>13</w:t>
            </w:r>
            <w:r w:rsidR="00246398" w:rsidRPr="008559DC">
              <w:rPr>
                <w:rFonts w:ascii="Times New Roman" w:hAnsi="Times New Roman"/>
                <w:b/>
                <w:sz w:val="24"/>
                <w:szCs w:val="24"/>
                <w:lang w:val="lt-LT"/>
              </w:rPr>
              <w:t>.</w:t>
            </w:r>
          </w:p>
        </w:tc>
        <w:tc>
          <w:tcPr>
            <w:tcW w:w="3977" w:type="dxa"/>
          </w:tcPr>
          <w:p w:rsidR="00246398" w:rsidRPr="00271598" w:rsidRDefault="00271598" w:rsidP="0000594D">
            <w:pPr>
              <w:jc w:val="both"/>
              <w:rPr>
                <w:rFonts w:ascii="Times New Roman" w:hAnsi="Times New Roman"/>
                <w:b/>
                <w:sz w:val="24"/>
                <w:szCs w:val="24"/>
                <w:lang w:val="lt-LT"/>
              </w:rPr>
            </w:pPr>
            <w:r w:rsidRPr="008D4C44">
              <w:rPr>
                <w:rFonts w:ascii="Times New Roman" w:hAnsi="Times New Roman"/>
                <w:b/>
                <w:sz w:val="24"/>
                <w:szCs w:val="24"/>
                <w:lang w:val="lt-LT"/>
              </w:rPr>
              <w:t>Dėl elektros energijos</w:t>
            </w:r>
            <w:r w:rsidR="008809A1" w:rsidRPr="008D4C44">
              <w:rPr>
                <w:rFonts w:ascii="Times New Roman" w:hAnsi="Times New Roman"/>
                <w:b/>
                <w:sz w:val="24"/>
                <w:szCs w:val="24"/>
                <w:lang w:val="lt-LT"/>
              </w:rPr>
              <w:t xml:space="preserve"> gamybos termofikacinėse elektrinėse </w:t>
            </w:r>
            <w:r w:rsidRPr="008D4C44">
              <w:rPr>
                <w:rFonts w:ascii="Times New Roman" w:hAnsi="Times New Roman"/>
                <w:b/>
                <w:sz w:val="24"/>
                <w:szCs w:val="24"/>
                <w:lang w:val="lt-LT"/>
              </w:rPr>
              <w:t xml:space="preserve"> kvotų panaikinimo nuo 2016 metų</w:t>
            </w:r>
          </w:p>
        </w:tc>
        <w:tc>
          <w:tcPr>
            <w:tcW w:w="6149" w:type="dxa"/>
          </w:tcPr>
          <w:p w:rsidR="00271598" w:rsidRPr="00271598" w:rsidRDefault="00271598" w:rsidP="00271598">
            <w:pPr>
              <w:pStyle w:val="ListParagraph"/>
              <w:numPr>
                <w:ilvl w:val="0"/>
                <w:numId w:val="18"/>
              </w:numPr>
              <w:ind w:left="619" w:hanging="425"/>
              <w:rPr>
                <w:szCs w:val="24"/>
              </w:rPr>
            </w:pPr>
            <w:r w:rsidRPr="00271598">
              <w:rPr>
                <w:szCs w:val="24"/>
              </w:rPr>
              <w:t>2015-08-19 d. LŠTA raštas institucijoms „Dėl termofikacinių elektrinių rėmimo 2016 metais</w:t>
            </w:r>
            <w:r>
              <w:rPr>
                <w:szCs w:val="24"/>
              </w:rPr>
              <w:t xml:space="preserve">“ atsižvelgiant </w:t>
            </w:r>
            <w:r w:rsidRPr="00271598">
              <w:rPr>
                <w:szCs w:val="24"/>
              </w:rPr>
              <w:t>Martyno Nagevičiaus parengt</w:t>
            </w:r>
            <w:r>
              <w:rPr>
                <w:szCs w:val="24"/>
              </w:rPr>
              <w:t>os</w:t>
            </w:r>
            <w:r w:rsidRPr="00271598">
              <w:rPr>
                <w:szCs w:val="24"/>
              </w:rPr>
              <w:t xml:space="preserve"> ataskait</w:t>
            </w:r>
            <w:r>
              <w:rPr>
                <w:szCs w:val="24"/>
              </w:rPr>
              <w:t>os išvadas</w:t>
            </w:r>
            <w:r w:rsidRPr="00271598">
              <w:rPr>
                <w:szCs w:val="24"/>
              </w:rPr>
              <w:t xml:space="preserve"> „</w:t>
            </w:r>
            <w:r w:rsidRPr="00271598">
              <w:rPr>
                <w:i/>
                <w:szCs w:val="24"/>
              </w:rPr>
              <w:t>VIAP lėšas gaunančių iškastinį kurą deginančių elektrinių gaminamos elektros energijos supirkimo tvarkos pakeitimo pasiūlymas</w:t>
            </w:r>
            <w:r w:rsidRPr="00271598">
              <w:rPr>
                <w:szCs w:val="24"/>
              </w:rPr>
              <w:t>“</w:t>
            </w:r>
          </w:p>
          <w:p w:rsidR="00B16E8C" w:rsidRPr="00271598" w:rsidRDefault="00271598" w:rsidP="00271598">
            <w:pPr>
              <w:pStyle w:val="ListParagraph"/>
              <w:numPr>
                <w:ilvl w:val="0"/>
                <w:numId w:val="18"/>
              </w:numPr>
              <w:ind w:left="743" w:hanging="567"/>
              <w:rPr>
                <w:szCs w:val="24"/>
              </w:rPr>
            </w:pPr>
            <w:r w:rsidRPr="00271598">
              <w:t xml:space="preserve">2015 m. spalio 7 d. LRV </w:t>
            </w:r>
            <w:hyperlink r:id="rId9" w:history="1">
              <w:r w:rsidRPr="00271598">
                <w:rPr>
                  <w:rStyle w:val="Hyperlink"/>
                  <w:color w:val="auto"/>
                </w:rPr>
                <w:t>nutarimas Nr. 1083</w:t>
              </w:r>
            </w:hyperlink>
            <w:r w:rsidRPr="00271598">
              <w:t xml:space="preserve"> „Dėl Viešuosius interesus atitinkančių paslaugų teikėjų ir viešuosius interesus atitinkančių paslaugų teikimo apimties 2016 metams nustatymo“, kuriame reglamentuota: „3. Nenustatyti remtinos elektros energijos gamybos termofikaciniu režimu kombinuotojo elektros energijos ir šilumos gamybos ciklo elektrinėse apimties 2016 metams“</w:t>
            </w:r>
          </w:p>
          <w:p w:rsidR="00271598" w:rsidRPr="00271598" w:rsidRDefault="00271598" w:rsidP="00271598">
            <w:pPr>
              <w:pStyle w:val="ListParagraph"/>
              <w:numPr>
                <w:ilvl w:val="0"/>
                <w:numId w:val="18"/>
              </w:numPr>
              <w:ind w:left="743" w:hanging="567"/>
              <w:rPr>
                <w:szCs w:val="24"/>
              </w:rPr>
            </w:pPr>
            <w:r w:rsidRPr="00271598">
              <w:t xml:space="preserve">2015-12-22 d. PET </w:t>
            </w:r>
            <w:r w:rsidRPr="00271598">
              <w:rPr>
                <w:bCs/>
                <w:iCs/>
              </w:rPr>
              <w:t>Lietuvos komiteto kreipimasis „</w:t>
            </w:r>
            <w:r>
              <w:rPr>
                <w:bCs/>
                <w:iCs/>
              </w:rPr>
              <w:t>Dėl L</w:t>
            </w:r>
            <w:r w:rsidRPr="00271598">
              <w:rPr>
                <w:bCs/>
                <w:iCs/>
              </w:rPr>
              <w:t xml:space="preserve">ietuvos </w:t>
            </w:r>
            <w:proofErr w:type="spellStart"/>
            <w:r w:rsidRPr="00271598">
              <w:rPr>
                <w:bCs/>
                <w:iCs/>
              </w:rPr>
              <w:t>kogeneracijos</w:t>
            </w:r>
            <w:proofErr w:type="spellEnd"/>
            <w:r w:rsidRPr="00271598">
              <w:rPr>
                <w:bCs/>
                <w:iCs/>
              </w:rPr>
              <w:t xml:space="preserve"> išsaugojimo“ išsiųstas LR Prezidentei, Ministrui Pirmininkui, Energetikos Ministrui</w:t>
            </w:r>
          </w:p>
        </w:tc>
      </w:tr>
      <w:tr w:rsidR="00246398" w:rsidRPr="00BD7F7C" w:rsidTr="00BD7F7C">
        <w:trPr>
          <w:trHeight w:val="510"/>
        </w:trPr>
        <w:tc>
          <w:tcPr>
            <w:tcW w:w="614" w:type="dxa"/>
          </w:tcPr>
          <w:p w:rsidR="00246398" w:rsidRPr="008559DC" w:rsidRDefault="00130C5D" w:rsidP="002832FE">
            <w:pPr>
              <w:jc w:val="center"/>
              <w:rPr>
                <w:rFonts w:ascii="Times New Roman" w:hAnsi="Times New Roman"/>
                <w:b/>
                <w:sz w:val="24"/>
                <w:szCs w:val="24"/>
                <w:lang w:val="lt-LT"/>
              </w:rPr>
            </w:pPr>
            <w:r>
              <w:rPr>
                <w:rFonts w:ascii="Times New Roman" w:hAnsi="Times New Roman"/>
                <w:b/>
                <w:sz w:val="24"/>
                <w:szCs w:val="24"/>
                <w:lang w:val="lt-LT"/>
              </w:rPr>
              <w:t>1</w:t>
            </w:r>
            <w:r w:rsidR="002832FE">
              <w:rPr>
                <w:rFonts w:ascii="Times New Roman" w:hAnsi="Times New Roman"/>
                <w:b/>
                <w:sz w:val="24"/>
                <w:szCs w:val="24"/>
                <w:lang w:val="lt-LT"/>
              </w:rPr>
              <w:t>4</w:t>
            </w:r>
            <w:r w:rsidR="00246398" w:rsidRPr="008559DC">
              <w:rPr>
                <w:rFonts w:ascii="Times New Roman" w:hAnsi="Times New Roman"/>
                <w:b/>
                <w:sz w:val="24"/>
                <w:szCs w:val="24"/>
                <w:lang w:val="lt-LT"/>
              </w:rPr>
              <w:t>.</w:t>
            </w:r>
          </w:p>
        </w:tc>
        <w:tc>
          <w:tcPr>
            <w:tcW w:w="3977" w:type="dxa"/>
          </w:tcPr>
          <w:p w:rsidR="00246398" w:rsidRPr="008559DC" w:rsidRDefault="005E3202" w:rsidP="008809A1">
            <w:pPr>
              <w:spacing w:after="200" w:line="276" w:lineRule="auto"/>
              <w:rPr>
                <w:rFonts w:ascii="Times New Roman" w:hAnsi="Times New Roman"/>
                <w:b/>
                <w:sz w:val="24"/>
                <w:szCs w:val="24"/>
                <w:lang w:val="lt-LT"/>
              </w:rPr>
            </w:pPr>
            <w:r w:rsidRPr="005E1BE5">
              <w:rPr>
                <w:rFonts w:ascii="Times New Roman" w:hAnsi="Times New Roman"/>
                <w:b/>
                <w:bCs/>
                <w:sz w:val="24"/>
                <w:szCs w:val="24"/>
                <w:lang w:val="lt-LT"/>
              </w:rPr>
              <w:t xml:space="preserve">Dvinarės kainos </w:t>
            </w:r>
            <w:r w:rsidR="001E3105">
              <w:rPr>
                <w:rFonts w:ascii="Times New Roman" w:hAnsi="Times New Roman"/>
                <w:b/>
                <w:bCs/>
                <w:sz w:val="24"/>
                <w:szCs w:val="24"/>
                <w:lang w:val="lt-LT"/>
              </w:rPr>
              <w:t>privalomas taikymas</w:t>
            </w:r>
            <w:r w:rsidRPr="005E1BE5">
              <w:rPr>
                <w:rFonts w:ascii="Times New Roman" w:hAnsi="Times New Roman"/>
                <w:b/>
                <w:bCs/>
                <w:sz w:val="24"/>
                <w:szCs w:val="24"/>
                <w:lang w:val="lt-LT"/>
              </w:rPr>
              <w:t xml:space="preserve"> CŠT sektoriuje</w:t>
            </w:r>
            <w:r w:rsidRPr="008559DC">
              <w:rPr>
                <w:rFonts w:ascii="Times New Roman" w:hAnsi="Times New Roman"/>
                <w:b/>
                <w:sz w:val="24"/>
                <w:szCs w:val="24"/>
                <w:lang w:val="lt-LT"/>
              </w:rPr>
              <w:t xml:space="preserve"> </w:t>
            </w:r>
          </w:p>
        </w:tc>
        <w:tc>
          <w:tcPr>
            <w:tcW w:w="6149" w:type="dxa"/>
          </w:tcPr>
          <w:p w:rsidR="001E3105" w:rsidRDefault="001E3105" w:rsidP="001E3105">
            <w:pPr>
              <w:pStyle w:val="ListParagraph"/>
              <w:ind w:left="176"/>
              <w:rPr>
                <w:szCs w:val="24"/>
              </w:rPr>
            </w:pPr>
            <w:r>
              <w:t xml:space="preserve">Pagrindimas V. Lukoševičiaus 2014 m. pabaigoje atliktoje </w:t>
            </w:r>
            <w:r w:rsidRPr="001E3105">
              <w:t xml:space="preserve">analizėje </w:t>
            </w:r>
            <w:r w:rsidRPr="001E3105">
              <w:rPr>
                <w:b/>
                <w:i/>
              </w:rPr>
              <w:t>„Dėl dvinarių šilumos kainų taikymo Lietuvos centralizuoto  šilumos tiekimo ūkyje“</w:t>
            </w:r>
            <w:r>
              <w:rPr>
                <w:b/>
                <w:i/>
              </w:rPr>
              <w:t xml:space="preserve"> </w:t>
            </w:r>
            <w:r w:rsidRPr="001E3105">
              <w:t>Analizėje pateikta</w:t>
            </w:r>
            <w:r>
              <w:rPr>
                <w:b/>
                <w:i/>
              </w:rPr>
              <w:t xml:space="preserve"> </w:t>
            </w:r>
            <w:r w:rsidRPr="006C11F0">
              <w:t>dvinarių kainų CŠT sektoriuje taikymo patirtis ir, įvertinant Lietuvos sąlygas, pateikti siūlymai ir konkretūs etapai atsiskaitymų už šildymo ir karšto vandens tiekimo paslaugas tobulinimui.</w:t>
            </w:r>
          </w:p>
          <w:p w:rsidR="00271598" w:rsidRDefault="00271598" w:rsidP="00271598">
            <w:pPr>
              <w:pStyle w:val="ListParagraph"/>
              <w:numPr>
                <w:ilvl w:val="0"/>
                <w:numId w:val="19"/>
              </w:numPr>
              <w:rPr>
                <w:szCs w:val="24"/>
              </w:rPr>
            </w:pPr>
            <w:r>
              <w:rPr>
                <w:szCs w:val="24"/>
              </w:rPr>
              <w:lastRenderedPageBreak/>
              <w:t>2015-06-04 d. EM, VKEKK, LŠTA atstovų susitikimas dėl dvinarės kainos taikymo</w:t>
            </w:r>
          </w:p>
          <w:p w:rsidR="00246398" w:rsidRPr="00271598" w:rsidRDefault="00271598" w:rsidP="00271598">
            <w:pPr>
              <w:pStyle w:val="ListParagraph"/>
              <w:numPr>
                <w:ilvl w:val="0"/>
                <w:numId w:val="19"/>
              </w:numPr>
              <w:spacing w:after="200" w:line="276" w:lineRule="auto"/>
              <w:rPr>
                <w:b/>
                <w:szCs w:val="24"/>
              </w:rPr>
            </w:pPr>
            <w:r w:rsidRPr="00271598">
              <w:rPr>
                <w:rFonts w:eastAsia="Times New Roman"/>
                <w:bCs/>
                <w:kern w:val="36"/>
                <w:szCs w:val="24"/>
                <w:lang w:eastAsia="lt-LT"/>
              </w:rPr>
              <w:t xml:space="preserve">2015-12-09 d. Energetikos komisijos posėdžio metu nagrinėtas klausimas dėl </w:t>
            </w:r>
            <w:r w:rsidRPr="00271598">
              <w:rPr>
                <w:rFonts w:eastAsia="Times New Roman"/>
                <w:szCs w:val="24"/>
                <w:lang w:eastAsia="lt-LT"/>
              </w:rPr>
              <w:t xml:space="preserve"> nuolaidų šilumos siurblių naudotojams</w:t>
            </w:r>
          </w:p>
        </w:tc>
      </w:tr>
      <w:tr w:rsidR="00246398" w:rsidRPr="008559DC" w:rsidTr="00BD7F7C">
        <w:trPr>
          <w:trHeight w:val="510"/>
        </w:trPr>
        <w:tc>
          <w:tcPr>
            <w:tcW w:w="614" w:type="dxa"/>
          </w:tcPr>
          <w:p w:rsidR="00246398"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lastRenderedPageBreak/>
              <w:t>15</w:t>
            </w:r>
            <w:r w:rsidR="00246398" w:rsidRPr="008559DC">
              <w:rPr>
                <w:rFonts w:ascii="Times New Roman" w:hAnsi="Times New Roman"/>
                <w:b/>
                <w:sz w:val="24"/>
                <w:szCs w:val="24"/>
                <w:lang w:val="lt-LT"/>
              </w:rPr>
              <w:t>.</w:t>
            </w:r>
          </w:p>
        </w:tc>
        <w:tc>
          <w:tcPr>
            <w:tcW w:w="3977" w:type="dxa"/>
          </w:tcPr>
          <w:p w:rsidR="00246398" w:rsidRPr="008D4C44" w:rsidRDefault="00246398" w:rsidP="008809A1">
            <w:pPr>
              <w:jc w:val="both"/>
              <w:rPr>
                <w:rFonts w:ascii="Times New Roman" w:hAnsi="Times New Roman"/>
                <w:sz w:val="24"/>
                <w:szCs w:val="24"/>
                <w:lang w:val="lt-LT"/>
              </w:rPr>
            </w:pPr>
            <w:r w:rsidRPr="008559DC">
              <w:rPr>
                <w:rFonts w:ascii="Times New Roman" w:hAnsi="Times New Roman"/>
                <w:b/>
                <w:sz w:val="24"/>
                <w:szCs w:val="24"/>
                <w:lang w:val="lt-LT"/>
              </w:rPr>
              <w:t>Rezervinių</w:t>
            </w:r>
            <w:r w:rsidR="008809A1">
              <w:rPr>
                <w:rFonts w:ascii="Times New Roman" w:hAnsi="Times New Roman"/>
                <w:b/>
                <w:sz w:val="24"/>
                <w:szCs w:val="24"/>
                <w:lang w:val="lt-LT"/>
              </w:rPr>
              <w:t xml:space="preserve"> šilumos gamybos galių,</w:t>
            </w:r>
            <w:r w:rsidRPr="008559DC">
              <w:rPr>
                <w:rFonts w:ascii="Times New Roman" w:hAnsi="Times New Roman"/>
                <w:b/>
                <w:sz w:val="24"/>
                <w:szCs w:val="24"/>
                <w:lang w:val="lt-LT"/>
              </w:rPr>
              <w:t xml:space="preserve"> </w:t>
            </w:r>
            <w:r w:rsidR="008809A1">
              <w:rPr>
                <w:rFonts w:ascii="Times New Roman" w:hAnsi="Times New Roman"/>
                <w:b/>
                <w:sz w:val="24"/>
                <w:szCs w:val="24"/>
                <w:lang w:val="lt-LT"/>
              </w:rPr>
              <w:t>pripažįstamų būtinomis nustatant šilumos kainas,</w:t>
            </w:r>
            <w:r w:rsidRPr="008559DC">
              <w:rPr>
                <w:rFonts w:ascii="Times New Roman" w:hAnsi="Times New Roman"/>
                <w:sz w:val="24"/>
                <w:szCs w:val="24"/>
                <w:lang w:val="lt-LT"/>
              </w:rPr>
              <w:t xml:space="preserve"> </w:t>
            </w:r>
            <w:r w:rsidR="008809A1" w:rsidRPr="008559DC">
              <w:rPr>
                <w:rFonts w:ascii="Times New Roman" w:hAnsi="Times New Roman"/>
                <w:b/>
                <w:sz w:val="24"/>
                <w:szCs w:val="24"/>
                <w:lang w:val="lt-LT"/>
              </w:rPr>
              <w:t xml:space="preserve">ir </w:t>
            </w:r>
            <w:r w:rsidR="008809A1">
              <w:rPr>
                <w:rFonts w:ascii="Times New Roman" w:hAnsi="Times New Roman"/>
                <w:b/>
                <w:sz w:val="24"/>
                <w:szCs w:val="24"/>
                <w:lang w:val="lt-LT"/>
              </w:rPr>
              <w:t xml:space="preserve">galimai </w:t>
            </w:r>
            <w:r w:rsidR="008809A1" w:rsidRPr="008559DC">
              <w:rPr>
                <w:rFonts w:ascii="Times New Roman" w:hAnsi="Times New Roman"/>
                <w:b/>
                <w:sz w:val="24"/>
                <w:szCs w:val="24"/>
                <w:lang w:val="lt-LT"/>
              </w:rPr>
              <w:t>perteklinių galių</w:t>
            </w:r>
            <w:r w:rsidR="008809A1">
              <w:rPr>
                <w:rFonts w:ascii="Times New Roman" w:hAnsi="Times New Roman"/>
                <w:b/>
                <w:sz w:val="24"/>
                <w:szCs w:val="24"/>
                <w:lang w:val="lt-LT"/>
              </w:rPr>
              <w:t xml:space="preserve"> nustatymo teisinis reglamentavimas</w:t>
            </w:r>
          </w:p>
        </w:tc>
        <w:tc>
          <w:tcPr>
            <w:tcW w:w="6149" w:type="dxa"/>
          </w:tcPr>
          <w:p w:rsidR="00246398" w:rsidRPr="00271598" w:rsidRDefault="00271598" w:rsidP="00271598">
            <w:pPr>
              <w:pStyle w:val="ListParagraph"/>
              <w:numPr>
                <w:ilvl w:val="0"/>
                <w:numId w:val="20"/>
              </w:numPr>
              <w:rPr>
                <w:b/>
                <w:szCs w:val="24"/>
              </w:rPr>
            </w:pPr>
            <w:r w:rsidRPr="00271598">
              <w:rPr>
                <w:szCs w:val="24"/>
              </w:rPr>
              <w:t>2015-12-06 LŠTA raštas Nr. 131 EM, VKEKK, VEI „Dėl rezervinio kuro ir rezervinių šilumos gamybos įrenginių poreikio centralizuoto šilumos tiekimo sistemose teisinio reglamentavimo“. Planuojami susitikimai UAB “</w:t>
            </w:r>
            <w:proofErr w:type="spellStart"/>
            <w:r w:rsidRPr="00271598">
              <w:rPr>
                <w:szCs w:val="24"/>
              </w:rPr>
              <w:t>EKotermija</w:t>
            </w:r>
            <w:proofErr w:type="spellEnd"/>
            <w:r w:rsidRPr="00271598">
              <w:rPr>
                <w:szCs w:val="24"/>
              </w:rPr>
              <w:t>” atlikta studijos rezultatų aptarimui.</w:t>
            </w:r>
          </w:p>
        </w:tc>
      </w:tr>
      <w:tr w:rsidR="008559DC" w:rsidRPr="00BD7F7C" w:rsidTr="00BD7F7C">
        <w:trPr>
          <w:trHeight w:val="510"/>
        </w:trPr>
        <w:tc>
          <w:tcPr>
            <w:tcW w:w="614" w:type="dxa"/>
          </w:tcPr>
          <w:p w:rsidR="008559DC"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t>16</w:t>
            </w:r>
            <w:r w:rsidR="008559DC" w:rsidRPr="008559DC">
              <w:rPr>
                <w:rFonts w:ascii="Times New Roman" w:hAnsi="Times New Roman"/>
                <w:b/>
                <w:sz w:val="24"/>
                <w:szCs w:val="24"/>
                <w:lang w:val="lt-LT"/>
              </w:rPr>
              <w:t>.</w:t>
            </w:r>
          </w:p>
        </w:tc>
        <w:tc>
          <w:tcPr>
            <w:tcW w:w="3977" w:type="dxa"/>
          </w:tcPr>
          <w:p w:rsidR="008559DC" w:rsidRPr="00851DB0" w:rsidRDefault="008559DC" w:rsidP="00415682">
            <w:pPr>
              <w:jc w:val="both"/>
              <w:rPr>
                <w:rFonts w:ascii="Times New Roman" w:hAnsi="Times New Roman"/>
                <w:sz w:val="24"/>
                <w:szCs w:val="24"/>
                <w:highlight w:val="yellow"/>
                <w:lang w:val="lt-LT"/>
              </w:rPr>
            </w:pPr>
            <w:r w:rsidRPr="00570162">
              <w:rPr>
                <w:rFonts w:ascii="Times New Roman" w:hAnsi="Times New Roman"/>
                <w:b/>
                <w:sz w:val="24"/>
                <w:szCs w:val="24"/>
                <w:lang w:val="lt-LT"/>
              </w:rPr>
              <w:t>ES direktyvos 2012/27/ES dėl energijos vartojimo efektyvumo, nuostatų perkėlimas į Lietuvos teisinę sistemą (</w:t>
            </w:r>
            <w:r w:rsidRPr="00570162">
              <w:rPr>
                <w:rFonts w:ascii="Times New Roman" w:hAnsi="Times New Roman"/>
                <w:b/>
                <w:i/>
                <w:iCs/>
                <w:sz w:val="24"/>
                <w:szCs w:val="24"/>
                <w:lang w:val="lt-LT"/>
              </w:rPr>
              <w:t xml:space="preserve">5, 7, 9, 10, </w:t>
            </w:r>
            <w:r w:rsidR="00AD3E3F" w:rsidRPr="00BD7F7C">
              <w:rPr>
                <w:rFonts w:ascii="Times New Roman" w:hAnsi="Times New Roman"/>
                <w:b/>
                <w:i/>
                <w:iCs/>
                <w:sz w:val="24"/>
                <w:szCs w:val="24"/>
                <w:lang w:val="lt-LT"/>
              </w:rPr>
              <w:t xml:space="preserve">11, </w:t>
            </w:r>
            <w:r w:rsidRPr="00570162">
              <w:rPr>
                <w:rFonts w:ascii="Times New Roman" w:hAnsi="Times New Roman"/>
                <w:b/>
                <w:i/>
                <w:iCs/>
                <w:sz w:val="24"/>
                <w:szCs w:val="24"/>
                <w:lang w:val="lt-LT"/>
              </w:rPr>
              <w:t>14 straipsnių įgyvendinimas)</w:t>
            </w:r>
          </w:p>
        </w:tc>
        <w:tc>
          <w:tcPr>
            <w:tcW w:w="6149" w:type="dxa"/>
          </w:tcPr>
          <w:p w:rsidR="008559DC" w:rsidRDefault="008559DC" w:rsidP="008559DC">
            <w:pPr>
              <w:jc w:val="both"/>
              <w:rPr>
                <w:rFonts w:ascii="Times New Roman" w:hAnsi="Times New Roman"/>
                <w:sz w:val="24"/>
                <w:szCs w:val="24"/>
                <w:lang w:val="lt-LT"/>
              </w:rPr>
            </w:pPr>
            <w:r w:rsidRPr="005E1BE5">
              <w:rPr>
                <w:rFonts w:ascii="Times New Roman" w:hAnsi="Times New Roman"/>
                <w:sz w:val="24"/>
                <w:szCs w:val="24"/>
                <w:lang w:val="lt-LT"/>
              </w:rPr>
              <w:t>Direktyvos nuostatų perkėlimas vėluoja nuo 2014 m. birželio 5 d.</w:t>
            </w:r>
          </w:p>
          <w:p w:rsidR="00271598" w:rsidRPr="00271598" w:rsidRDefault="00271598" w:rsidP="00271598">
            <w:pPr>
              <w:pStyle w:val="ListParagraph"/>
              <w:numPr>
                <w:ilvl w:val="0"/>
                <w:numId w:val="21"/>
              </w:numPr>
              <w:ind w:left="459" w:hanging="283"/>
              <w:rPr>
                <w:szCs w:val="24"/>
              </w:rPr>
            </w:pPr>
            <w:r w:rsidRPr="00271598">
              <w:rPr>
                <w:szCs w:val="24"/>
              </w:rPr>
              <w:t>2015-06-19 Energetikos ministerijai persiųsta LŠTA užsakymu</w:t>
            </w:r>
            <w:r w:rsidRPr="00271598">
              <w:t xml:space="preserve"> atlikta studija „</w:t>
            </w:r>
            <w:r w:rsidRPr="00271598">
              <w:rPr>
                <w:i/>
                <w:iCs/>
              </w:rPr>
              <w:t>2012/27/ES direktyvos dėl energijos vartojimo efektyvumo nuostatų įgyvendinimas mažiausiomis sąnaudomis centralizuoto šilumos tiekimo sektoriuje</w:t>
            </w:r>
            <w:r w:rsidRPr="00271598">
              <w:t xml:space="preserve">“ </w:t>
            </w:r>
            <w:r w:rsidRPr="00271598">
              <w:rPr>
                <w:szCs w:val="24"/>
              </w:rPr>
              <w:t>2015-07-02 įvyko pasitarimas pas energetikos viceministrą.</w:t>
            </w:r>
          </w:p>
          <w:p w:rsidR="00271598" w:rsidRPr="0000594D" w:rsidRDefault="00271598" w:rsidP="008559DC">
            <w:pPr>
              <w:jc w:val="both"/>
              <w:rPr>
                <w:rFonts w:ascii="Times New Roman" w:hAnsi="Times New Roman"/>
                <w:sz w:val="24"/>
                <w:szCs w:val="24"/>
                <w:lang w:val="lt-LT"/>
              </w:rPr>
            </w:pPr>
          </w:p>
        </w:tc>
      </w:tr>
      <w:tr w:rsidR="008559DC" w:rsidRPr="00BD7F7C" w:rsidTr="00BD7F7C">
        <w:trPr>
          <w:trHeight w:val="510"/>
        </w:trPr>
        <w:tc>
          <w:tcPr>
            <w:tcW w:w="614" w:type="dxa"/>
          </w:tcPr>
          <w:p w:rsidR="008559DC"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t>17</w:t>
            </w:r>
            <w:r w:rsidR="008559DC" w:rsidRPr="008559DC">
              <w:rPr>
                <w:rFonts w:ascii="Times New Roman" w:hAnsi="Times New Roman"/>
                <w:b/>
                <w:sz w:val="24"/>
                <w:szCs w:val="24"/>
                <w:lang w:val="lt-LT"/>
              </w:rPr>
              <w:t>.</w:t>
            </w:r>
          </w:p>
        </w:tc>
        <w:tc>
          <w:tcPr>
            <w:tcW w:w="3977" w:type="dxa"/>
          </w:tcPr>
          <w:p w:rsidR="008559DC" w:rsidRPr="008559DC" w:rsidRDefault="00C435A7" w:rsidP="000F4B0E">
            <w:pPr>
              <w:jc w:val="both"/>
              <w:rPr>
                <w:rFonts w:ascii="Times New Roman" w:hAnsi="Times New Roman"/>
                <w:b/>
                <w:sz w:val="24"/>
                <w:szCs w:val="24"/>
                <w:lang w:val="lt-LT"/>
              </w:rPr>
            </w:pPr>
            <w:r>
              <w:rPr>
                <w:rFonts w:ascii="Times New Roman" w:hAnsi="Times New Roman"/>
                <w:b/>
                <w:bCs/>
                <w:iCs/>
                <w:sz w:val="24"/>
                <w:szCs w:val="24"/>
                <w:lang w:val="lt-LT"/>
              </w:rPr>
              <w:t>Taršos leidimų prekybos reglamentavimas 2021-2030 metais įgyvendinant d</w:t>
            </w:r>
            <w:r w:rsidR="00271598" w:rsidRPr="00092423">
              <w:rPr>
                <w:rFonts w:ascii="Times New Roman" w:hAnsi="Times New Roman"/>
                <w:b/>
                <w:bCs/>
                <w:iCs/>
                <w:sz w:val="24"/>
                <w:szCs w:val="24"/>
                <w:lang w:val="lt-LT"/>
              </w:rPr>
              <w:t>irektyv</w:t>
            </w:r>
            <w:r>
              <w:rPr>
                <w:rFonts w:ascii="Times New Roman" w:hAnsi="Times New Roman"/>
                <w:b/>
                <w:bCs/>
                <w:iCs/>
                <w:sz w:val="24"/>
                <w:szCs w:val="24"/>
                <w:lang w:val="lt-LT"/>
              </w:rPr>
              <w:t>ą</w:t>
            </w:r>
            <w:r w:rsidR="00271598" w:rsidRPr="00092423">
              <w:rPr>
                <w:rFonts w:ascii="Times New Roman" w:hAnsi="Times New Roman"/>
                <w:b/>
                <w:bCs/>
                <w:iCs/>
                <w:sz w:val="24"/>
                <w:szCs w:val="24"/>
                <w:lang w:val="lt-LT"/>
              </w:rPr>
              <w:t xml:space="preserve"> </w:t>
            </w:r>
            <w:r w:rsidR="00271598" w:rsidRPr="00092423">
              <w:rPr>
                <w:rFonts w:ascii="Times New Roman" w:hAnsi="Times New Roman"/>
                <w:b/>
                <w:bCs/>
                <w:sz w:val="24"/>
                <w:szCs w:val="24"/>
                <w:lang w:val="lt-LT"/>
              </w:rPr>
              <w:t>2009/29/EB</w:t>
            </w:r>
            <w:r w:rsidR="00271598" w:rsidRPr="00092423">
              <w:rPr>
                <w:rFonts w:ascii="Times New Roman" w:hAnsi="Times New Roman"/>
                <w:b/>
                <w:bCs/>
                <w:iCs/>
                <w:sz w:val="24"/>
                <w:szCs w:val="24"/>
                <w:lang w:val="lt-LT"/>
              </w:rPr>
              <w:t xml:space="preserve"> „Nustatanti šiltnamio efektą sukeliančių dujų emisijos leidimų sistemą"</w:t>
            </w:r>
          </w:p>
          <w:p w:rsidR="008559DC" w:rsidRPr="005E1BE5" w:rsidRDefault="008559DC" w:rsidP="00481695">
            <w:pPr>
              <w:rPr>
                <w:szCs w:val="24"/>
                <w:lang w:val="lt-LT"/>
              </w:rPr>
            </w:pPr>
          </w:p>
          <w:p w:rsidR="008559DC" w:rsidRPr="008559DC" w:rsidRDefault="008559DC" w:rsidP="003075E4">
            <w:pPr>
              <w:pStyle w:val="ListParagraph"/>
              <w:rPr>
                <w:szCs w:val="24"/>
              </w:rPr>
            </w:pPr>
          </w:p>
        </w:tc>
        <w:tc>
          <w:tcPr>
            <w:tcW w:w="6149" w:type="dxa"/>
          </w:tcPr>
          <w:p w:rsidR="00271598" w:rsidRDefault="00271598" w:rsidP="00271598">
            <w:pPr>
              <w:pStyle w:val="ListParagraph"/>
              <w:numPr>
                <w:ilvl w:val="0"/>
                <w:numId w:val="22"/>
              </w:numPr>
              <w:rPr>
                <w:szCs w:val="24"/>
              </w:rPr>
            </w:pPr>
            <w:r>
              <w:rPr>
                <w:szCs w:val="24"/>
              </w:rPr>
              <w:t>2015 m. rudenį</w:t>
            </w:r>
            <w:r w:rsidRPr="007D0401">
              <w:rPr>
                <w:szCs w:val="24"/>
              </w:rPr>
              <w:t xml:space="preserve"> AM </w:t>
            </w:r>
            <w:r>
              <w:rPr>
                <w:szCs w:val="24"/>
              </w:rPr>
              <w:t>sudaryta darbo grupė ES apyvartinių taršos leidimų prekybos sistemos klausimams nagrinėti ir Lietuvos pozicijai dėl šios sistemos reikalavimų nustatymo 2021-2030 m. laikotarpiui formuoti, į kurią deleguoti Ž. Juodkienė ir R. Ramanauskas (UAB „Vilniaus energija)</w:t>
            </w:r>
          </w:p>
          <w:p w:rsidR="008559DC" w:rsidRPr="004E0116" w:rsidRDefault="00271598" w:rsidP="004E0116">
            <w:pPr>
              <w:pStyle w:val="ListParagraph"/>
              <w:numPr>
                <w:ilvl w:val="0"/>
                <w:numId w:val="22"/>
              </w:numPr>
              <w:rPr>
                <w:b/>
                <w:szCs w:val="24"/>
              </w:rPr>
            </w:pPr>
            <w:r w:rsidRPr="004E0116">
              <w:rPr>
                <w:szCs w:val="24"/>
              </w:rPr>
              <w:t xml:space="preserve">2015-11-20 LŠTA </w:t>
            </w:r>
            <w:r w:rsidR="004E0116" w:rsidRPr="004E0116">
              <w:rPr>
                <w:szCs w:val="24"/>
              </w:rPr>
              <w:t xml:space="preserve">Aplinkos ministerijai </w:t>
            </w:r>
            <w:r w:rsidRPr="004E0116">
              <w:rPr>
                <w:szCs w:val="24"/>
              </w:rPr>
              <w:t>pateikė pastabas – pasiūlymus LR pozicijai dėl direktyvos 2003/87/EB pakeitimo.</w:t>
            </w:r>
          </w:p>
        </w:tc>
      </w:tr>
      <w:tr w:rsidR="008559DC" w:rsidRPr="004E0116" w:rsidTr="00BD7F7C">
        <w:trPr>
          <w:trHeight w:val="510"/>
        </w:trPr>
        <w:tc>
          <w:tcPr>
            <w:tcW w:w="614" w:type="dxa"/>
          </w:tcPr>
          <w:p w:rsidR="008559DC" w:rsidRPr="004E0116" w:rsidRDefault="00130C5D" w:rsidP="008559DC">
            <w:pPr>
              <w:jc w:val="center"/>
              <w:rPr>
                <w:rFonts w:ascii="Times New Roman" w:hAnsi="Times New Roman"/>
                <w:b/>
                <w:sz w:val="24"/>
                <w:szCs w:val="24"/>
                <w:lang w:val="lt-LT"/>
              </w:rPr>
            </w:pPr>
            <w:r w:rsidRPr="004E0116">
              <w:rPr>
                <w:rFonts w:ascii="Times New Roman" w:hAnsi="Times New Roman"/>
                <w:b/>
                <w:sz w:val="24"/>
                <w:szCs w:val="24"/>
                <w:lang w:val="lt-LT"/>
              </w:rPr>
              <w:t>1</w:t>
            </w:r>
            <w:r w:rsidR="002832FE">
              <w:rPr>
                <w:rFonts w:ascii="Times New Roman" w:hAnsi="Times New Roman"/>
                <w:b/>
                <w:sz w:val="24"/>
                <w:szCs w:val="24"/>
                <w:lang w:val="lt-LT"/>
              </w:rPr>
              <w:t>8.</w:t>
            </w:r>
          </w:p>
        </w:tc>
        <w:tc>
          <w:tcPr>
            <w:tcW w:w="3977" w:type="dxa"/>
          </w:tcPr>
          <w:p w:rsidR="008559DC" w:rsidRPr="004E0116" w:rsidRDefault="004E0116" w:rsidP="004E0116">
            <w:pPr>
              <w:jc w:val="both"/>
              <w:rPr>
                <w:rFonts w:ascii="Times New Roman" w:hAnsi="Times New Roman"/>
                <w:sz w:val="24"/>
                <w:szCs w:val="24"/>
                <w:lang w:val="lt-LT"/>
              </w:rPr>
            </w:pPr>
            <w:r w:rsidRPr="004E0116">
              <w:rPr>
                <w:rFonts w:ascii="Times New Roman" w:hAnsi="Times New Roman"/>
                <w:sz w:val="24"/>
                <w:szCs w:val="24"/>
                <w:lang w:val="lt-LT"/>
              </w:rPr>
              <w:t>Europos</w:t>
            </w:r>
            <w:r w:rsidR="00C435A7">
              <w:rPr>
                <w:rFonts w:ascii="Times New Roman" w:hAnsi="Times New Roman"/>
                <w:sz w:val="24"/>
                <w:szCs w:val="24"/>
                <w:lang w:val="lt-LT"/>
              </w:rPr>
              <w:t xml:space="preserve"> Parlamento ir Tarybos direktyva</w:t>
            </w:r>
            <w:r w:rsidRPr="004E0116">
              <w:rPr>
                <w:rFonts w:ascii="Times New Roman" w:hAnsi="Times New Roman"/>
                <w:sz w:val="24"/>
                <w:szCs w:val="24"/>
                <w:lang w:val="lt-LT"/>
              </w:rPr>
              <w:t>  2015/2193 „</w:t>
            </w:r>
            <w:r w:rsidRPr="004E0116">
              <w:rPr>
                <w:rFonts w:ascii="Times New Roman" w:hAnsi="Times New Roman"/>
                <w:b/>
                <w:bCs/>
                <w:sz w:val="24"/>
                <w:szCs w:val="24"/>
                <w:lang w:val="lt-LT"/>
              </w:rPr>
              <w:t>Dėl tam tikrų teršalų, išmetamų į orą iš vidutinio dydžio kurą deginančių įrenginių, kiekio apribojimo</w:t>
            </w:r>
            <w:r w:rsidRPr="004E0116">
              <w:rPr>
                <w:rFonts w:ascii="Times New Roman" w:hAnsi="Times New Roman"/>
                <w:sz w:val="24"/>
                <w:szCs w:val="24"/>
                <w:lang w:val="lt-LT"/>
              </w:rPr>
              <w:t>“</w:t>
            </w:r>
          </w:p>
        </w:tc>
        <w:tc>
          <w:tcPr>
            <w:tcW w:w="6149" w:type="dxa"/>
          </w:tcPr>
          <w:p w:rsidR="004E0116" w:rsidRPr="004E0116" w:rsidRDefault="00C435A7" w:rsidP="004E0116">
            <w:pPr>
              <w:pStyle w:val="ListParagraph"/>
              <w:numPr>
                <w:ilvl w:val="0"/>
                <w:numId w:val="22"/>
              </w:numPr>
              <w:rPr>
                <w:rStyle w:val="hps"/>
                <w:b/>
                <w:szCs w:val="24"/>
              </w:rPr>
            </w:pPr>
            <w:r>
              <w:rPr>
                <w:rStyle w:val="hps"/>
                <w:color w:val="222222"/>
                <w:szCs w:val="24"/>
              </w:rPr>
              <w:t xml:space="preserve">Direktyva </w:t>
            </w:r>
            <w:r w:rsidR="004E0116" w:rsidRPr="004E0116">
              <w:rPr>
                <w:rStyle w:val="hps"/>
                <w:color w:val="222222"/>
                <w:szCs w:val="24"/>
              </w:rPr>
              <w:t xml:space="preserve">įsigaliojo </w:t>
            </w:r>
            <w:r w:rsidR="004E0116" w:rsidRPr="004E0116">
              <w:rPr>
                <w:rStyle w:val="hps"/>
                <w:bCs/>
                <w:color w:val="222222"/>
                <w:szCs w:val="24"/>
                <w:u w:val="single"/>
              </w:rPr>
              <w:t>nuo gruodžio 18 d</w:t>
            </w:r>
            <w:r w:rsidR="004E0116" w:rsidRPr="004E0116">
              <w:rPr>
                <w:rStyle w:val="hps"/>
                <w:color w:val="222222"/>
                <w:szCs w:val="24"/>
              </w:rPr>
              <w:t>. Nuo šios datos ES šalys narės per 2 metus turės perkelti Direktyvos nuostatas į savo nacionalinius</w:t>
            </w:r>
            <w:r w:rsidR="004E0116" w:rsidRPr="004E0116">
              <w:rPr>
                <w:color w:val="222222"/>
                <w:szCs w:val="24"/>
              </w:rPr>
              <w:t xml:space="preserve"> </w:t>
            </w:r>
            <w:r w:rsidR="004E0116" w:rsidRPr="004E0116">
              <w:rPr>
                <w:rStyle w:val="hps"/>
                <w:color w:val="222222"/>
                <w:szCs w:val="24"/>
              </w:rPr>
              <w:t>teisės aktus.</w:t>
            </w:r>
          </w:p>
          <w:p w:rsidR="008559DC" w:rsidRPr="004E0116" w:rsidRDefault="004E0116" w:rsidP="004E0116">
            <w:pPr>
              <w:pStyle w:val="ListParagraph"/>
              <w:numPr>
                <w:ilvl w:val="0"/>
                <w:numId w:val="22"/>
              </w:numPr>
              <w:rPr>
                <w:b/>
                <w:szCs w:val="24"/>
              </w:rPr>
            </w:pPr>
            <w:r w:rsidRPr="004E0116">
              <w:rPr>
                <w:rStyle w:val="hps"/>
                <w:color w:val="222222"/>
                <w:szCs w:val="24"/>
              </w:rPr>
              <w:t xml:space="preserve">2015-12-04 d. seminaras diskusija </w:t>
            </w:r>
            <w:r w:rsidRPr="004E0116">
              <w:rPr>
                <w:szCs w:val="24"/>
              </w:rPr>
              <w:t>Europos Parlamento Informacijos biure Lietuvoje</w:t>
            </w:r>
          </w:p>
        </w:tc>
      </w:tr>
      <w:tr w:rsidR="008559DC" w:rsidRPr="005E1BE5" w:rsidTr="00BD7F7C">
        <w:trPr>
          <w:trHeight w:val="510"/>
        </w:trPr>
        <w:tc>
          <w:tcPr>
            <w:tcW w:w="614" w:type="dxa"/>
          </w:tcPr>
          <w:p w:rsidR="008559DC"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t>19.</w:t>
            </w:r>
          </w:p>
        </w:tc>
        <w:tc>
          <w:tcPr>
            <w:tcW w:w="3977" w:type="dxa"/>
          </w:tcPr>
          <w:p w:rsidR="008559DC" w:rsidRPr="008559DC" w:rsidRDefault="00C435A7" w:rsidP="000F4B0E">
            <w:pPr>
              <w:jc w:val="both"/>
              <w:rPr>
                <w:rFonts w:ascii="Times New Roman" w:hAnsi="Times New Roman"/>
                <w:b/>
                <w:sz w:val="24"/>
                <w:szCs w:val="24"/>
                <w:lang w:val="lt-LT"/>
              </w:rPr>
            </w:pPr>
            <w:r>
              <w:rPr>
                <w:rFonts w:ascii="Times New Roman" w:hAnsi="Times New Roman"/>
                <w:b/>
                <w:sz w:val="24"/>
                <w:szCs w:val="24"/>
                <w:lang w:val="lt-LT"/>
              </w:rPr>
              <w:t xml:space="preserve">Nepradėta įsisavinti </w:t>
            </w:r>
            <w:r w:rsidR="008559DC" w:rsidRPr="008559DC">
              <w:rPr>
                <w:rFonts w:ascii="Times New Roman" w:hAnsi="Times New Roman"/>
                <w:b/>
                <w:sz w:val="24"/>
                <w:szCs w:val="24"/>
                <w:lang w:val="lt-LT"/>
              </w:rPr>
              <w:t xml:space="preserve">2014-2020 m. </w:t>
            </w:r>
            <w:r>
              <w:rPr>
                <w:rFonts w:ascii="Times New Roman" w:hAnsi="Times New Roman"/>
                <w:b/>
                <w:sz w:val="24"/>
                <w:szCs w:val="24"/>
                <w:lang w:val="lt-LT"/>
              </w:rPr>
              <w:t>ES struktūrinė parama</w:t>
            </w:r>
            <w:r w:rsidR="008559DC" w:rsidRPr="008559DC">
              <w:rPr>
                <w:rFonts w:ascii="Times New Roman" w:hAnsi="Times New Roman"/>
                <w:b/>
                <w:sz w:val="24"/>
                <w:szCs w:val="24"/>
                <w:lang w:val="lt-LT"/>
              </w:rPr>
              <w:t xml:space="preserve"> </w:t>
            </w:r>
          </w:p>
          <w:p w:rsidR="008559DC" w:rsidRPr="008559DC" w:rsidRDefault="008559DC" w:rsidP="0000594D">
            <w:pPr>
              <w:pStyle w:val="ListParagraph"/>
              <w:ind w:left="743"/>
              <w:contextualSpacing w:val="0"/>
              <w:rPr>
                <w:szCs w:val="24"/>
              </w:rPr>
            </w:pPr>
          </w:p>
        </w:tc>
        <w:tc>
          <w:tcPr>
            <w:tcW w:w="6149" w:type="dxa"/>
          </w:tcPr>
          <w:p w:rsidR="004E0116" w:rsidRPr="004E0116" w:rsidRDefault="004E0116" w:rsidP="004E0116">
            <w:pPr>
              <w:pStyle w:val="ListParagraph"/>
              <w:numPr>
                <w:ilvl w:val="1"/>
                <w:numId w:val="6"/>
              </w:numPr>
              <w:ind w:left="743" w:hanging="284"/>
              <w:contextualSpacing w:val="0"/>
              <w:rPr>
                <w:szCs w:val="24"/>
              </w:rPr>
            </w:pPr>
            <w:r>
              <w:rPr>
                <w:szCs w:val="24"/>
              </w:rPr>
              <w:t xml:space="preserve">2015-04-22 d. patvirtintas </w:t>
            </w:r>
            <w:r w:rsidRPr="00092423">
              <w:rPr>
                <w:szCs w:val="24"/>
              </w:rPr>
              <w:t>priemonės Nr. 04.3.2-LVPA-K-102 „Šilumos tiekimo tinklų modernizavimas ir plėtra“</w:t>
            </w:r>
            <w:r>
              <w:t xml:space="preserve"> įgyvendinimo planas (69,5 mln. </w:t>
            </w:r>
            <w:proofErr w:type="spellStart"/>
            <w:r>
              <w:t>Eur</w:t>
            </w:r>
            <w:proofErr w:type="spellEnd"/>
            <w:r>
              <w:t xml:space="preserve"> parama).</w:t>
            </w:r>
          </w:p>
          <w:p w:rsidR="004E0116" w:rsidRPr="004E0116" w:rsidRDefault="004E0116" w:rsidP="004E0116">
            <w:pPr>
              <w:pStyle w:val="ListParagraph"/>
              <w:numPr>
                <w:ilvl w:val="1"/>
                <w:numId w:val="6"/>
              </w:numPr>
              <w:ind w:left="743" w:hanging="284"/>
              <w:contextualSpacing w:val="0"/>
              <w:rPr>
                <w:szCs w:val="24"/>
              </w:rPr>
            </w:pPr>
            <w:r w:rsidRPr="004E0116">
              <w:rPr>
                <w:szCs w:val="24"/>
              </w:rPr>
              <w:t xml:space="preserve">2015-11-18 d. patvirtinti dar 3 priemonių </w:t>
            </w:r>
            <w:r w:rsidRPr="004E0116">
              <w:t>įgyvendinimo planai:</w:t>
            </w:r>
          </w:p>
          <w:p w:rsidR="004E0116" w:rsidRPr="004E0116" w:rsidRDefault="004E0116" w:rsidP="004E0116">
            <w:pPr>
              <w:ind w:left="743" w:hanging="284"/>
              <w:rPr>
                <w:rFonts w:ascii="Times New Roman" w:hAnsi="Times New Roman"/>
                <w:sz w:val="24"/>
                <w:szCs w:val="24"/>
              </w:rPr>
            </w:pPr>
            <w:r w:rsidRPr="004E0116">
              <w:rPr>
                <w:szCs w:val="24"/>
              </w:rPr>
              <w:t xml:space="preserve">- </w:t>
            </w:r>
            <w:r w:rsidRPr="004E0116">
              <w:rPr>
                <w:rFonts w:ascii="Times New Roman" w:hAnsi="Times New Roman"/>
                <w:sz w:val="24"/>
                <w:szCs w:val="24"/>
              </w:rPr>
              <w:t>Nr. 04.1.1-LVPA-V-108 „</w:t>
            </w:r>
            <w:proofErr w:type="spellStart"/>
            <w:r w:rsidRPr="004E0116">
              <w:rPr>
                <w:rFonts w:ascii="Times New Roman" w:hAnsi="Times New Roman"/>
                <w:sz w:val="24"/>
                <w:szCs w:val="24"/>
              </w:rPr>
              <w:t>Didelio</w:t>
            </w:r>
            <w:proofErr w:type="spellEnd"/>
            <w:r w:rsidRPr="004E0116">
              <w:rPr>
                <w:rFonts w:ascii="Times New Roman" w:hAnsi="Times New Roman"/>
                <w:sz w:val="24"/>
                <w:szCs w:val="24"/>
              </w:rPr>
              <w:t xml:space="preserve"> </w:t>
            </w:r>
            <w:proofErr w:type="spellStart"/>
            <w:r w:rsidRPr="004E0116">
              <w:rPr>
                <w:rFonts w:ascii="Times New Roman" w:hAnsi="Times New Roman"/>
                <w:sz w:val="24"/>
                <w:szCs w:val="24"/>
              </w:rPr>
              <w:t>efektyvumo</w:t>
            </w:r>
            <w:proofErr w:type="spellEnd"/>
            <w:r w:rsidRPr="004E0116">
              <w:rPr>
                <w:rFonts w:ascii="Times New Roman" w:hAnsi="Times New Roman"/>
                <w:sz w:val="24"/>
                <w:szCs w:val="24"/>
              </w:rPr>
              <w:t xml:space="preserve"> </w:t>
            </w:r>
            <w:proofErr w:type="spellStart"/>
            <w:r w:rsidRPr="004E0116">
              <w:rPr>
                <w:rFonts w:ascii="Times New Roman" w:hAnsi="Times New Roman"/>
                <w:sz w:val="24"/>
                <w:szCs w:val="24"/>
              </w:rPr>
              <w:t>kogeneracijos</w:t>
            </w:r>
            <w:proofErr w:type="spellEnd"/>
            <w:r w:rsidRPr="004E0116">
              <w:rPr>
                <w:rFonts w:ascii="Times New Roman" w:hAnsi="Times New Roman"/>
                <w:sz w:val="24"/>
                <w:szCs w:val="24"/>
              </w:rPr>
              <w:t xml:space="preserve"> </w:t>
            </w:r>
            <w:proofErr w:type="spellStart"/>
            <w:r w:rsidRPr="004E0116">
              <w:rPr>
                <w:rFonts w:ascii="Times New Roman" w:hAnsi="Times New Roman"/>
                <w:sz w:val="24"/>
                <w:szCs w:val="24"/>
              </w:rPr>
              <w:t>skatinimas</w:t>
            </w:r>
            <w:proofErr w:type="spellEnd"/>
            <w:r w:rsidRPr="004E0116">
              <w:rPr>
                <w:rFonts w:ascii="Times New Roman" w:hAnsi="Times New Roman"/>
                <w:sz w:val="24"/>
                <w:szCs w:val="24"/>
              </w:rPr>
              <w:t xml:space="preserve"> </w:t>
            </w:r>
            <w:proofErr w:type="spellStart"/>
            <w:r w:rsidRPr="004E0116">
              <w:rPr>
                <w:rFonts w:ascii="Times New Roman" w:hAnsi="Times New Roman"/>
                <w:sz w:val="24"/>
                <w:szCs w:val="24"/>
              </w:rPr>
              <w:t>Vilniaus</w:t>
            </w:r>
            <w:proofErr w:type="spellEnd"/>
            <w:r w:rsidRPr="004E0116">
              <w:rPr>
                <w:rFonts w:ascii="Times New Roman" w:hAnsi="Times New Roman"/>
                <w:sz w:val="24"/>
                <w:szCs w:val="24"/>
              </w:rPr>
              <w:t xml:space="preserve"> Ir Kauno </w:t>
            </w:r>
            <w:proofErr w:type="spellStart"/>
            <w:r w:rsidRPr="004E0116">
              <w:rPr>
                <w:rFonts w:ascii="Times New Roman" w:hAnsi="Times New Roman"/>
                <w:sz w:val="24"/>
                <w:szCs w:val="24"/>
              </w:rPr>
              <w:t>miestuose</w:t>
            </w:r>
            <w:proofErr w:type="spellEnd"/>
            <w:r w:rsidRPr="004E0116">
              <w:rPr>
                <w:rFonts w:ascii="Times New Roman" w:hAnsi="Times New Roman"/>
                <w:sz w:val="24"/>
                <w:szCs w:val="24"/>
              </w:rPr>
              <w:t xml:space="preserve">“ (233 </w:t>
            </w:r>
            <w:proofErr w:type="spellStart"/>
            <w:r w:rsidRPr="004E0116">
              <w:rPr>
                <w:rFonts w:ascii="Times New Roman" w:hAnsi="Times New Roman"/>
                <w:sz w:val="24"/>
                <w:szCs w:val="24"/>
              </w:rPr>
              <w:t>mln</w:t>
            </w:r>
            <w:proofErr w:type="spellEnd"/>
            <w:r w:rsidRPr="004E0116">
              <w:rPr>
                <w:rFonts w:ascii="Times New Roman" w:hAnsi="Times New Roman"/>
                <w:sz w:val="24"/>
                <w:szCs w:val="24"/>
              </w:rPr>
              <w:t xml:space="preserve">. </w:t>
            </w:r>
            <w:proofErr w:type="spellStart"/>
            <w:r w:rsidRPr="004E0116">
              <w:rPr>
                <w:rFonts w:ascii="Times New Roman" w:hAnsi="Times New Roman"/>
                <w:sz w:val="24"/>
                <w:szCs w:val="24"/>
              </w:rPr>
              <w:t>eurų</w:t>
            </w:r>
            <w:proofErr w:type="spellEnd"/>
            <w:r w:rsidRPr="004E0116">
              <w:rPr>
                <w:rFonts w:ascii="Times New Roman" w:hAnsi="Times New Roman"/>
                <w:sz w:val="24"/>
                <w:szCs w:val="24"/>
              </w:rPr>
              <w:t xml:space="preserve"> </w:t>
            </w:r>
            <w:proofErr w:type="spellStart"/>
            <w:r w:rsidRPr="004E0116">
              <w:rPr>
                <w:rFonts w:ascii="Times New Roman" w:hAnsi="Times New Roman"/>
                <w:sz w:val="24"/>
                <w:szCs w:val="24"/>
              </w:rPr>
              <w:t>parama</w:t>
            </w:r>
            <w:proofErr w:type="spellEnd"/>
            <w:r w:rsidRPr="004E0116">
              <w:rPr>
                <w:rFonts w:ascii="Times New Roman" w:hAnsi="Times New Roman"/>
                <w:sz w:val="24"/>
                <w:szCs w:val="24"/>
              </w:rPr>
              <w:t>)</w:t>
            </w:r>
          </w:p>
          <w:p w:rsidR="004E0116" w:rsidRPr="004E0116" w:rsidRDefault="004E0116" w:rsidP="004E0116">
            <w:pPr>
              <w:ind w:left="743" w:hanging="284"/>
              <w:rPr>
                <w:rFonts w:ascii="Times New Roman" w:hAnsi="Times New Roman"/>
                <w:sz w:val="24"/>
                <w:szCs w:val="24"/>
              </w:rPr>
            </w:pPr>
            <w:r w:rsidRPr="004E0116">
              <w:rPr>
                <w:rFonts w:ascii="Times New Roman" w:hAnsi="Times New Roman"/>
                <w:sz w:val="24"/>
                <w:szCs w:val="24"/>
              </w:rPr>
              <w:t>- Nr. 04.1.1- LVPA-K-110 „</w:t>
            </w:r>
            <w:proofErr w:type="spellStart"/>
            <w:r w:rsidRPr="004E0116">
              <w:rPr>
                <w:rFonts w:ascii="Times New Roman" w:hAnsi="Times New Roman"/>
                <w:sz w:val="24"/>
                <w:szCs w:val="24"/>
              </w:rPr>
              <w:t>Nedidelės</w:t>
            </w:r>
            <w:proofErr w:type="spellEnd"/>
            <w:r w:rsidRPr="004E0116">
              <w:rPr>
                <w:rFonts w:ascii="Times New Roman" w:hAnsi="Times New Roman"/>
                <w:sz w:val="24"/>
                <w:szCs w:val="24"/>
              </w:rPr>
              <w:t xml:space="preserve"> </w:t>
            </w:r>
            <w:proofErr w:type="spellStart"/>
            <w:r w:rsidRPr="004E0116">
              <w:rPr>
                <w:rFonts w:ascii="Times New Roman" w:hAnsi="Times New Roman"/>
                <w:sz w:val="24"/>
                <w:szCs w:val="24"/>
              </w:rPr>
              <w:t>galios</w:t>
            </w:r>
            <w:proofErr w:type="spellEnd"/>
            <w:r w:rsidRPr="004E0116">
              <w:rPr>
                <w:rFonts w:ascii="Times New Roman" w:hAnsi="Times New Roman"/>
                <w:sz w:val="24"/>
                <w:szCs w:val="24"/>
              </w:rPr>
              <w:t xml:space="preserve"> </w:t>
            </w:r>
            <w:proofErr w:type="spellStart"/>
            <w:r w:rsidRPr="004E0116">
              <w:rPr>
                <w:rFonts w:ascii="Times New Roman" w:hAnsi="Times New Roman"/>
                <w:sz w:val="24"/>
                <w:szCs w:val="24"/>
              </w:rPr>
              <w:t>biokuro</w:t>
            </w:r>
            <w:proofErr w:type="spellEnd"/>
            <w:r w:rsidRPr="004E0116">
              <w:rPr>
                <w:rFonts w:ascii="Times New Roman" w:hAnsi="Times New Roman"/>
                <w:sz w:val="24"/>
                <w:szCs w:val="24"/>
              </w:rPr>
              <w:t xml:space="preserve"> </w:t>
            </w:r>
            <w:proofErr w:type="spellStart"/>
            <w:r w:rsidRPr="004E0116">
              <w:rPr>
                <w:rFonts w:ascii="Times New Roman" w:hAnsi="Times New Roman"/>
                <w:sz w:val="24"/>
                <w:szCs w:val="24"/>
              </w:rPr>
              <w:t>kogeneracijos</w:t>
            </w:r>
            <w:proofErr w:type="spellEnd"/>
            <w:r w:rsidRPr="004E0116">
              <w:rPr>
                <w:rFonts w:ascii="Times New Roman" w:hAnsi="Times New Roman"/>
                <w:sz w:val="24"/>
                <w:szCs w:val="24"/>
              </w:rPr>
              <w:t xml:space="preserve"> </w:t>
            </w:r>
            <w:proofErr w:type="spellStart"/>
            <w:r w:rsidRPr="004E0116">
              <w:rPr>
                <w:rFonts w:ascii="Times New Roman" w:hAnsi="Times New Roman"/>
                <w:sz w:val="24"/>
                <w:szCs w:val="24"/>
              </w:rPr>
              <w:t>skatinimas</w:t>
            </w:r>
            <w:proofErr w:type="spellEnd"/>
            <w:r w:rsidRPr="004E0116">
              <w:rPr>
                <w:rFonts w:ascii="Times New Roman" w:hAnsi="Times New Roman"/>
                <w:sz w:val="24"/>
                <w:szCs w:val="24"/>
              </w:rPr>
              <w:t xml:space="preserve">“ (12 </w:t>
            </w:r>
            <w:proofErr w:type="spellStart"/>
            <w:r w:rsidRPr="004E0116">
              <w:rPr>
                <w:rFonts w:ascii="Times New Roman" w:hAnsi="Times New Roman"/>
                <w:sz w:val="24"/>
                <w:szCs w:val="24"/>
              </w:rPr>
              <w:t>mln</w:t>
            </w:r>
            <w:proofErr w:type="spellEnd"/>
            <w:r w:rsidRPr="004E0116">
              <w:rPr>
                <w:rFonts w:ascii="Times New Roman" w:hAnsi="Times New Roman"/>
                <w:sz w:val="24"/>
                <w:szCs w:val="24"/>
              </w:rPr>
              <w:t xml:space="preserve">. </w:t>
            </w:r>
            <w:proofErr w:type="spellStart"/>
            <w:r w:rsidRPr="004E0116">
              <w:rPr>
                <w:rFonts w:ascii="Times New Roman" w:hAnsi="Times New Roman"/>
                <w:sz w:val="24"/>
                <w:szCs w:val="24"/>
              </w:rPr>
              <w:t>eurų</w:t>
            </w:r>
            <w:proofErr w:type="spellEnd"/>
            <w:r w:rsidRPr="004E0116">
              <w:rPr>
                <w:rFonts w:ascii="Times New Roman" w:hAnsi="Times New Roman"/>
                <w:sz w:val="24"/>
                <w:szCs w:val="24"/>
              </w:rPr>
              <w:t xml:space="preserve"> </w:t>
            </w:r>
            <w:proofErr w:type="spellStart"/>
            <w:r w:rsidRPr="004E0116">
              <w:rPr>
                <w:rFonts w:ascii="Times New Roman" w:hAnsi="Times New Roman"/>
                <w:sz w:val="24"/>
                <w:szCs w:val="24"/>
              </w:rPr>
              <w:t>parama</w:t>
            </w:r>
            <w:proofErr w:type="spellEnd"/>
            <w:r w:rsidRPr="004E0116">
              <w:rPr>
                <w:rFonts w:ascii="Times New Roman" w:hAnsi="Times New Roman"/>
                <w:sz w:val="24"/>
                <w:szCs w:val="24"/>
              </w:rPr>
              <w:t>)</w:t>
            </w:r>
          </w:p>
          <w:p w:rsidR="004E0116" w:rsidRPr="004E0116" w:rsidRDefault="004E0116" w:rsidP="004E0116">
            <w:pPr>
              <w:ind w:left="743" w:hanging="284"/>
              <w:rPr>
                <w:szCs w:val="24"/>
              </w:rPr>
            </w:pPr>
            <w:r w:rsidRPr="004E0116">
              <w:rPr>
                <w:rFonts w:ascii="Times New Roman" w:hAnsi="Times New Roman"/>
                <w:sz w:val="24"/>
                <w:szCs w:val="24"/>
              </w:rPr>
              <w:t>- Nr. 04.1.1-LVPA-K-109 „</w:t>
            </w:r>
            <w:proofErr w:type="spellStart"/>
            <w:r w:rsidRPr="004E0116">
              <w:rPr>
                <w:rFonts w:ascii="Times New Roman" w:hAnsi="Times New Roman"/>
                <w:sz w:val="24"/>
                <w:szCs w:val="24"/>
              </w:rPr>
              <w:t>Iškastinį</w:t>
            </w:r>
            <w:proofErr w:type="spellEnd"/>
            <w:r w:rsidRPr="004E0116">
              <w:rPr>
                <w:rFonts w:ascii="Times New Roman" w:hAnsi="Times New Roman"/>
                <w:sz w:val="24"/>
                <w:szCs w:val="24"/>
              </w:rPr>
              <w:t xml:space="preserve"> </w:t>
            </w:r>
            <w:proofErr w:type="spellStart"/>
            <w:r w:rsidRPr="004E0116">
              <w:rPr>
                <w:rFonts w:ascii="Times New Roman" w:hAnsi="Times New Roman"/>
                <w:sz w:val="24"/>
                <w:szCs w:val="24"/>
              </w:rPr>
              <w:t>kurą</w:t>
            </w:r>
            <w:proofErr w:type="spellEnd"/>
            <w:r w:rsidRPr="004E0116">
              <w:rPr>
                <w:rFonts w:ascii="Times New Roman" w:hAnsi="Times New Roman"/>
                <w:sz w:val="24"/>
                <w:szCs w:val="24"/>
              </w:rPr>
              <w:t xml:space="preserve"> </w:t>
            </w:r>
            <w:proofErr w:type="spellStart"/>
            <w:r w:rsidRPr="004E0116">
              <w:rPr>
                <w:rFonts w:ascii="Times New Roman" w:hAnsi="Times New Roman"/>
                <w:sz w:val="24"/>
                <w:szCs w:val="24"/>
              </w:rPr>
              <w:t>naudojančių</w:t>
            </w:r>
            <w:proofErr w:type="spellEnd"/>
            <w:r w:rsidRPr="004E0116">
              <w:rPr>
                <w:rFonts w:ascii="Times New Roman" w:hAnsi="Times New Roman"/>
                <w:sz w:val="24"/>
                <w:szCs w:val="24"/>
              </w:rPr>
              <w:t xml:space="preserve"> </w:t>
            </w:r>
            <w:proofErr w:type="spellStart"/>
            <w:r w:rsidRPr="004E0116">
              <w:rPr>
                <w:rFonts w:ascii="Times New Roman" w:hAnsi="Times New Roman"/>
                <w:sz w:val="24"/>
                <w:szCs w:val="24"/>
              </w:rPr>
              <w:t>katilinių</w:t>
            </w:r>
            <w:proofErr w:type="spellEnd"/>
            <w:r w:rsidRPr="004E0116">
              <w:rPr>
                <w:rFonts w:ascii="Times New Roman" w:hAnsi="Times New Roman"/>
                <w:sz w:val="24"/>
                <w:szCs w:val="24"/>
              </w:rPr>
              <w:t xml:space="preserve"> </w:t>
            </w:r>
            <w:proofErr w:type="spellStart"/>
            <w:r w:rsidRPr="004E0116">
              <w:rPr>
                <w:rFonts w:ascii="Times New Roman" w:hAnsi="Times New Roman"/>
                <w:sz w:val="24"/>
                <w:szCs w:val="24"/>
              </w:rPr>
              <w:t>modernizavimas</w:t>
            </w:r>
            <w:proofErr w:type="spellEnd"/>
            <w:r w:rsidRPr="004E0116">
              <w:rPr>
                <w:rFonts w:ascii="Times New Roman" w:hAnsi="Times New Roman"/>
                <w:sz w:val="24"/>
                <w:szCs w:val="24"/>
              </w:rPr>
              <w:t xml:space="preserve">“ (15 </w:t>
            </w:r>
            <w:proofErr w:type="spellStart"/>
            <w:r w:rsidRPr="004E0116">
              <w:rPr>
                <w:rFonts w:ascii="Times New Roman" w:hAnsi="Times New Roman"/>
                <w:sz w:val="24"/>
                <w:szCs w:val="24"/>
              </w:rPr>
              <w:t>mln</w:t>
            </w:r>
            <w:proofErr w:type="spellEnd"/>
            <w:r w:rsidRPr="004E0116">
              <w:rPr>
                <w:rFonts w:ascii="Times New Roman" w:hAnsi="Times New Roman"/>
                <w:sz w:val="24"/>
                <w:szCs w:val="24"/>
              </w:rPr>
              <w:t xml:space="preserve">. </w:t>
            </w:r>
            <w:proofErr w:type="spellStart"/>
            <w:r w:rsidRPr="004E0116">
              <w:rPr>
                <w:rFonts w:ascii="Times New Roman" w:hAnsi="Times New Roman"/>
                <w:sz w:val="24"/>
                <w:szCs w:val="24"/>
              </w:rPr>
              <w:t>eurų</w:t>
            </w:r>
            <w:proofErr w:type="spellEnd"/>
            <w:r w:rsidRPr="004E0116">
              <w:rPr>
                <w:rFonts w:ascii="Times New Roman" w:hAnsi="Times New Roman"/>
                <w:sz w:val="24"/>
                <w:szCs w:val="24"/>
              </w:rPr>
              <w:t xml:space="preserve"> </w:t>
            </w:r>
            <w:proofErr w:type="spellStart"/>
            <w:r w:rsidRPr="004E0116">
              <w:rPr>
                <w:rFonts w:ascii="Times New Roman" w:hAnsi="Times New Roman"/>
                <w:sz w:val="24"/>
                <w:szCs w:val="24"/>
              </w:rPr>
              <w:t>parama</w:t>
            </w:r>
            <w:proofErr w:type="spellEnd"/>
            <w:r w:rsidRPr="004E0116">
              <w:rPr>
                <w:rFonts w:ascii="Times New Roman" w:hAnsi="Times New Roman"/>
                <w:sz w:val="24"/>
                <w:szCs w:val="24"/>
              </w:rPr>
              <w:t>)</w:t>
            </w:r>
          </w:p>
          <w:p w:rsidR="008559DC" w:rsidRPr="008559DC" w:rsidRDefault="004E0116" w:rsidP="004E0116">
            <w:pPr>
              <w:pStyle w:val="ListParagraph"/>
              <w:numPr>
                <w:ilvl w:val="1"/>
                <w:numId w:val="6"/>
              </w:numPr>
              <w:ind w:left="743" w:hanging="425"/>
              <w:contextualSpacing w:val="0"/>
              <w:rPr>
                <w:b/>
                <w:szCs w:val="24"/>
              </w:rPr>
            </w:pPr>
            <w:r>
              <w:rPr>
                <w:szCs w:val="24"/>
              </w:rPr>
              <w:t>2015-11-20 EM ministerija pateikė galutiniam susipažinimui priemonės N</w:t>
            </w:r>
            <w:r w:rsidRPr="00F35DA9">
              <w:rPr>
                <w:szCs w:val="24"/>
              </w:rPr>
              <w:t>r. 04.3.2-LVPA-K-102 „</w:t>
            </w:r>
            <w:r>
              <w:rPr>
                <w:szCs w:val="24"/>
              </w:rPr>
              <w:t>Š</w:t>
            </w:r>
            <w:r w:rsidRPr="00F35DA9">
              <w:rPr>
                <w:szCs w:val="24"/>
              </w:rPr>
              <w:t xml:space="preserve">ilumos tiekimo tinklų modernizavimas ir plėtra“ </w:t>
            </w:r>
            <w:r w:rsidRPr="00F35DA9">
              <w:rPr>
                <w:szCs w:val="24"/>
              </w:rPr>
              <w:lastRenderedPageBreak/>
              <w:t>proj</w:t>
            </w:r>
            <w:r>
              <w:rPr>
                <w:szCs w:val="24"/>
              </w:rPr>
              <w:t>ektų finansavimo sąlygų aprašo N</w:t>
            </w:r>
            <w:r w:rsidRPr="00F35DA9">
              <w:rPr>
                <w:szCs w:val="24"/>
              </w:rPr>
              <w:t>r.1 projekto</w:t>
            </w:r>
            <w:r>
              <w:rPr>
                <w:szCs w:val="24"/>
              </w:rPr>
              <w:t xml:space="preserve"> patobulintą variantą. Pirmąjį kvietimą 35 mln. eurų sumai planuoja skelbti 2016 m. sausio mėn. </w:t>
            </w:r>
          </w:p>
        </w:tc>
      </w:tr>
      <w:tr w:rsidR="004E0116" w:rsidRPr="00BD7F7C" w:rsidTr="00BD7F7C">
        <w:trPr>
          <w:trHeight w:val="510"/>
        </w:trPr>
        <w:tc>
          <w:tcPr>
            <w:tcW w:w="614" w:type="dxa"/>
          </w:tcPr>
          <w:p w:rsidR="004E0116" w:rsidRDefault="002832FE" w:rsidP="008559DC">
            <w:pPr>
              <w:jc w:val="center"/>
              <w:rPr>
                <w:rFonts w:ascii="Times New Roman" w:hAnsi="Times New Roman"/>
                <w:b/>
                <w:sz w:val="24"/>
                <w:szCs w:val="24"/>
                <w:lang w:val="lt-LT"/>
              </w:rPr>
            </w:pPr>
            <w:r>
              <w:rPr>
                <w:rFonts w:ascii="Times New Roman" w:hAnsi="Times New Roman"/>
                <w:b/>
                <w:sz w:val="24"/>
                <w:szCs w:val="24"/>
                <w:lang w:val="lt-LT"/>
              </w:rPr>
              <w:lastRenderedPageBreak/>
              <w:t>20.</w:t>
            </w:r>
          </w:p>
        </w:tc>
        <w:tc>
          <w:tcPr>
            <w:tcW w:w="3977" w:type="dxa"/>
          </w:tcPr>
          <w:p w:rsidR="004E0116" w:rsidRPr="008559DC" w:rsidRDefault="004E0116" w:rsidP="000F4B0E">
            <w:pPr>
              <w:jc w:val="both"/>
              <w:rPr>
                <w:rFonts w:ascii="Times New Roman" w:hAnsi="Times New Roman"/>
                <w:b/>
                <w:sz w:val="24"/>
                <w:szCs w:val="24"/>
                <w:lang w:val="lt-LT"/>
              </w:rPr>
            </w:pPr>
            <w:proofErr w:type="spellStart"/>
            <w:r w:rsidRPr="0047255C">
              <w:rPr>
                <w:rFonts w:ascii="Times New Roman" w:hAnsi="Times New Roman"/>
                <w:b/>
                <w:sz w:val="24"/>
                <w:szCs w:val="24"/>
              </w:rPr>
              <w:t>Dėl</w:t>
            </w:r>
            <w:proofErr w:type="spellEnd"/>
            <w:r w:rsidRPr="0047255C">
              <w:rPr>
                <w:rFonts w:ascii="Times New Roman" w:hAnsi="Times New Roman"/>
                <w:b/>
                <w:sz w:val="24"/>
                <w:szCs w:val="24"/>
              </w:rPr>
              <w:t xml:space="preserve"> </w:t>
            </w:r>
            <w:proofErr w:type="spellStart"/>
            <w:r w:rsidRPr="0047255C">
              <w:rPr>
                <w:rFonts w:ascii="Times New Roman" w:hAnsi="Times New Roman"/>
                <w:b/>
                <w:sz w:val="24"/>
                <w:szCs w:val="24"/>
              </w:rPr>
              <w:t>prisijungimo</w:t>
            </w:r>
            <w:proofErr w:type="spellEnd"/>
            <w:r w:rsidRPr="0047255C">
              <w:rPr>
                <w:rFonts w:ascii="Times New Roman" w:hAnsi="Times New Roman"/>
                <w:b/>
                <w:sz w:val="24"/>
                <w:szCs w:val="24"/>
              </w:rPr>
              <w:t xml:space="preserve"> </w:t>
            </w:r>
            <w:proofErr w:type="spellStart"/>
            <w:r w:rsidRPr="0047255C">
              <w:rPr>
                <w:rFonts w:ascii="Times New Roman" w:hAnsi="Times New Roman"/>
                <w:b/>
                <w:sz w:val="24"/>
                <w:szCs w:val="24"/>
              </w:rPr>
              <w:t>prie</w:t>
            </w:r>
            <w:proofErr w:type="spellEnd"/>
            <w:r w:rsidRPr="0047255C">
              <w:rPr>
                <w:rFonts w:ascii="Times New Roman" w:hAnsi="Times New Roman"/>
                <w:b/>
                <w:sz w:val="24"/>
                <w:szCs w:val="24"/>
              </w:rPr>
              <w:t xml:space="preserve"> </w:t>
            </w:r>
            <w:proofErr w:type="spellStart"/>
            <w:r w:rsidRPr="0047255C">
              <w:rPr>
                <w:rFonts w:ascii="Times New Roman" w:hAnsi="Times New Roman"/>
                <w:b/>
                <w:sz w:val="24"/>
                <w:szCs w:val="24"/>
              </w:rPr>
              <w:t>bendros</w:t>
            </w:r>
            <w:proofErr w:type="spellEnd"/>
            <w:r w:rsidRPr="0047255C">
              <w:rPr>
                <w:rFonts w:ascii="Times New Roman" w:hAnsi="Times New Roman"/>
                <w:b/>
                <w:sz w:val="24"/>
                <w:szCs w:val="24"/>
              </w:rPr>
              <w:t xml:space="preserve"> </w:t>
            </w:r>
            <w:proofErr w:type="spellStart"/>
            <w:r w:rsidRPr="0047255C">
              <w:rPr>
                <w:rFonts w:ascii="Times New Roman" w:hAnsi="Times New Roman"/>
                <w:b/>
                <w:sz w:val="24"/>
                <w:szCs w:val="24"/>
              </w:rPr>
              <w:t>mokėjimų</w:t>
            </w:r>
            <w:proofErr w:type="spellEnd"/>
            <w:r w:rsidRPr="0047255C">
              <w:rPr>
                <w:rFonts w:ascii="Times New Roman" w:hAnsi="Times New Roman"/>
                <w:b/>
                <w:sz w:val="24"/>
                <w:szCs w:val="24"/>
              </w:rPr>
              <w:t xml:space="preserve"> </w:t>
            </w:r>
            <w:proofErr w:type="spellStart"/>
            <w:r w:rsidRPr="0047255C">
              <w:rPr>
                <w:rFonts w:ascii="Times New Roman" w:hAnsi="Times New Roman"/>
                <w:b/>
                <w:sz w:val="24"/>
                <w:szCs w:val="24"/>
              </w:rPr>
              <w:t>eurais</w:t>
            </w:r>
            <w:proofErr w:type="spellEnd"/>
            <w:r w:rsidRPr="0047255C">
              <w:rPr>
                <w:rFonts w:ascii="Times New Roman" w:hAnsi="Times New Roman"/>
                <w:b/>
                <w:sz w:val="24"/>
                <w:szCs w:val="24"/>
              </w:rPr>
              <w:t xml:space="preserve"> </w:t>
            </w:r>
            <w:proofErr w:type="spellStart"/>
            <w:r w:rsidRPr="0047255C">
              <w:rPr>
                <w:rFonts w:ascii="Times New Roman" w:hAnsi="Times New Roman"/>
                <w:b/>
                <w:sz w:val="24"/>
                <w:szCs w:val="24"/>
              </w:rPr>
              <w:t>erdvės</w:t>
            </w:r>
            <w:proofErr w:type="spellEnd"/>
            <w:r w:rsidRPr="0047255C">
              <w:rPr>
                <w:rFonts w:ascii="Times New Roman" w:hAnsi="Times New Roman"/>
                <w:b/>
                <w:sz w:val="24"/>
                <w:szCs w:val="24"/>
              </w:rPr>
              <w:t xml:space="preserve"> SEPA</w:t>
            </w:r>
          </w:p>
        </w:tc>
        <w:tc>
          <w:tcPr>
            <w:tcW w:w="6149" w:type="dxa"/>
          </w:tcPr>
          <w:p w:rsidR="00D12412" w:rsidRPr="00D12412" w:rsidRDefault="004E0116" w:rsidP="00D12412">
            <w:pPr>
              <w:pStyle w:val="ListParagraph"/>
              <w:numPr>
                <w:ilvl w:val="1"/>
                <w:numId w:val="6"/>
              </w:numPr>
              <w:ind w:left="601" w:hanging="284"/>
              <w:rPr>
                <w:szCs w:val="24"/>
              </w:rPr>
            </w:pPr>
            <w:r w:rsidRPr="00D12412">
              <w:rPr>
                <w:szCs w:val="24"/>
              </w:rPr>
              <w:t xml:space="preserve">2015-11-16 d. įvyko trišalis </w:t>
            </w:r>
            <w:r w:rsidR="00D12412" w:rsidRPr="00D12412">
              <w:rPr>
                <w:szCs w:val="24"/>
              </w:rPr>
              <w:t xml:space="preserve">LŠTA, </w:t>
            </w:r>
            <w:r w:rsidRPr="00D12412">
              <w:rPr>
                <w:szCs w:val="24"/>
              </w:rPr>
              <w:t>Lietuvos Banko ir Li</w:t>
            </w:r>
            <w:r w:rsidR="00D12412" w:rsidRPr="00D12412">
              <w:rPr>
                <w:szCs w:val="24"/>
              </w:rPr>
              <w:t>etuvos bankų asociacijos atstovų</w:t>
            </w:r>
            <w:r w:rsidRPr="00D12412">
              <w:rPr>
                <w:szCs w:val="24"/>
              </w:rPr>
              <w:t xml:space="preserve"> </w:t>
            </w:r>
            <w:r w:rsidR="00D12412" w:rsidRPr="00D12412">
              <w:rPr>
                <w:szCs w:val="24"/>
              </w:rPr>
              <w:t xml:space="preserve">susitikimas. Susitikimo metu buvo sutarta kreiptis į Europos komisiją ir ne vėliau kaip iki gruodžio 24 d. pateikti motyvaciją ir veiksmų planą Lietuvos bankui dėl pereinamojo laikotarpio termino (įmokų surinkimo klausimui). Iš šilumos tiekimo įmonių bus deleguotas atstovas į SEPA kredito pervedimų darbo grupę.  </w:t>
            </w:r>
          </w:p>
          <w:p w:rsidR="004E0116" w:rsidRPr="00D12412" w:rsidRDefault="00D12412" w:rsidP="00D12412">
            <w:pPr>
              <w:pStyle w:val="ListParagraph"/>
              <w:numPr>
                <w:ilvl w:val="1"/>
                <w:numId w:val="6"/>
              </w:numPr>
              <w:ind w:left="601" w:hanging="284"/>
              <w:rPr>
                <w:szCs w:val="24"/>
              </w:rPr>
            </w:pPr>
            <w:r w:rsidRPr="00D12412">
              <w:rPr>
                <w:szCs w:val="24"/>
              </w:rPr>
              <w:t xml:space="preserve">2015-12-14 d. gautas Lietuvos banko atsakymas  į </w:t>
            </w:r>
            <w:r w:rsidR="004E0116" w:rsidRPr="00D12412">
              <w:rPr>
                <w:szCs w:val="24"/>
              </w:rPr>
              <w:t>2015-11-13</w:t>
            </w:r>
            <w:r w:rsidRPr="00D12412">
              <w:rPr>
                <w:szCs w:val="24"/>
              </w:rPr>
              <w:t xml:space="preserve">d. </w:t>
            </w:r>
            <w:r w:rsidR="004E0116" w:rsidRPr="00D12412">
              <w:rPr>
                <w:szCs w:val="24"/>
              </w:rPr>
              <w:t xml:space="preserve"> LŠTA rašt</w:t>
            </w:r>
            <w:r w:rsidRPr="00D12412">
              <w:rPr>
                <w:szCs w:val="24"/>
              </w:rPr>
              <w:t>ą d</w:t>
            </w:r>
            <w:r w:rsidR="004E0116" w:rsidRPr="00D12412">
              <w:rPr>
                <w:szCs w:val="24"/>
              </w:rPr>
              <w:t>ėl prisijungimo prie bendros mokėjimų eurais erdvės SEPA</w:t>
            </w:r>
            <w:r w:rsidRPr="00D12412">
              <w:rPr>
                <w:szCs w:val="24"/>
              </w:rPr>
              <w:t xml:space="preserve">. </w:t>
            </w:r>
          </w:p>
          <w:p w:rsidR="004E0116" w:rsidRPr="00D12412" w:rsidRDefault="004E0116" w:rsidP="00D12412">
            <w:pPr>
              <w:pStyle w:val="ListParagraph"/>
              <w:numPr>
                <w:ilvl w:val="1"/>
                <w:numId w:val="6"/>
              </w:numPr>
              <w:ind w:left="601" w:hanging="284"/>
              <w:rPr>
                <w:szCs w:val="24"/>
              </w:rPr>
            </w:pPr>
            <w:r w:rsidRPr="00D12412">
              <w:rPr>
                <w:szCs w:val="24"/>
              </w:rPr>
              <w:t>2015-12-18 d. LBA informavo, jog kol kas nepavyksta susiderinti su Lietuvos banku priimtinų įmokų surinkimo paslaugos opcijų. Dėl šios priežasties iki šiol neįvyko planuotas SEPA kredito pervedimų darbo grupės susitikimas</w:t>
            </w:r>
            <w:r w:rsidR="00D12412">
              <w:rPr>
                <w:szCs w:val="24"/>
              </w:rPr>
              <w:t>.</w:t>
            </w:r>
          </w:p>
        </w:tc>
      </w:tr>
      <w:tr w:rsidR="00AD3E3F" w:rsidRPr="00BD7F7C" w:rsidTr="00BD7F7C">
        <w:trPr>
          <w:trHeight w:val="510"/>
        </w:trPr>
        <w:tc>
          <w:tcPr>
            <w:tcW w:w="614" w:type="dxa"/>
          </w:tcPr>
          <w:p w:rsidR="00AD3E3F" w:rsidRDefault="00AD3E3F" w:rsidP="008559DC">
            <w:pPr>
              <w:jc w:val="center"/>
              <w:rPr>
                <w:rFonts w:ascii="Times New Roman" w:hAnsi="Times New Roman"/>
                <w:b/>
                <w:sz w:val="24"/>
                <w:szCs w:val="24"/>
                <w:lang w:val="lt-LT"/>
              </w:rPr>
            </w:pPr>
            <w:r>
              <w:rPr>
                <w:rFonts w:ascii="Times New Roman" w:hAnsi="Times New Roman"/>
                <w:b/>
                <w:sz w:val="24"/>
                <w:szCs w:val="24"/>
                <w:lang w:val="lt-LT"/>
              </w:rPr>
              <w:t xml:space="preserve">21. </w:t>
            </w:r>
          </w:p>
        </w:tc>
        <w:tc>
          <w:tcPr>
            <w:tcW w:w="3977" w:type="dxa"/>
          </w:tcPr>
          <w:p w:rsidR="00AD3E3F" w:rsidRPr="00F93FD1" w:rsidRDefault="00F93FD1" w:rsidP="00F93FD1">
            <w:pPr>
              <w:jc w:val="both"/>
              <w:rPr>
                <w:rFonts w:ascii="Times New Roman" w:hAnsi="Times New Roman"/>
                <w:b/>
                <w:sz w:val="24"/>
                <w:szCs w:val="24"/>
                <w:lang w:val="lt-LT"/>
              </w:rPr>
            </w:pPr>
            <w:r w:rsidRPr="00F93FD1">
              <w:rPr>
                <w:rFonts w:ascii="Times New Roman" w:hAnsi="Times New Roman"/>
                <w:b/>
                <w:sz w:val="24"/>
                <w:szCs w:val="24"/>
                <w:lang w:val="lt-LT"/>
              </w:rPr>
              <w:t xml:space="preserve">Dėl </w:t>
            </w:r>
            <w:r>
              <w:rPr>
                <w:rFonts w:ascii="Times New Roman" w:hAnsi="Times New Roman"/>
                <w:b/>
                <w:sz w:val="24"/>
                <w:szCs w:val="24"/>
                <w:lang w:val="lt-LT"/>
              </w:rPr>
              <w:t>VKEKK</w:t>
            </w:r>
            <w:r w:rsidRPr="00F93FD1">
              <w:rPr>
                <w:rFonts w:ascii="Times New Roman" w:hAnsi="Times New Roman"/>
                <w:b/>
                <w:sz w:val="24"/>
                <w:szCs w:val="24"/>
                <w:lang w:val="lt-LT"/>
              </w:rPr>
              <w:t xml:space="preserve"> šilumos paskirstymo metodų bei jų rengimo ir taikymo taisyklių pakeitimo projektų</w:t>
            </w:r>
          </w:p>
        </w:tc>
        <w:tc>
          <w:tcPr>
            <w:tcW w:w="6149" w:type="dxa"/>
          </w:tcPr>
          <w:p w:rsidR="00AD3E3F" w:rsidRDefault="00F93FD1" w:rsidP="002D5ADF">
            <w:pPr>
              <w:pStyle w:val="ListParagraph"/>
              <w:numPr>
                <w:ilvl w:val="1"/>
                <w:numId w:val="6"/>
              </w:numPr>
              <w:ind w:left="601" w:hanging="284"/>
              <w:rPr>
                <w:szCs w:val="24"/>
              </w:rPr>
            </w:pPr>
            <w:r>
              <w:rPr>
                <w:szCs w:val="24"/>
              </w:rPr>
              <w:t xml:space="preserve">2014-03-06 pirmą kartą </w:t>
            </w:r>
            <w:r w:rsidR="002D5ADF">
              <w:rPr>
                <w:szCs w:val="24"/>
              </w:rPr>
              <w:t xml:space="preserve">viešam derinimui </w:t>
            </w:r>
            <w:r>
              <w:rPr>
                <w:szCs w:val="24"/>
              </w:rPr>
              <w:t xml:space="preserve">pateiktas VKEKK parengtas Šilumos paskirstymo taisyklių projektas. LŠTA teikė pastabas projektui, vyko projekto aptarimai </w:t>
            </w:r>
            <w:r w:rsidR="002D5ADF">
              <w:rPr>
                <w:szCs w:val="24"/>
              </w:rPr>
              <w:t>tar</w:t>
            </w:r>
            <w:r>
              <w:rPr>
                <w:szCs w:val="24"/>
              </w:rPr>
              <w:t xml:space="preserve">p VKEKK, LŠTA ir šilumos tiekimo įmonių atstovų. </w:t>
            </w:r>
            <w:r w:rsidR="002D5ADF">
              <w:rPr>
                <w:szCs w:val="24"/>
              </w:rPr>
              <w:t>2015-05-18 d. įvyko susitikimas su VKEKK, projekto tvirtinimas buvo atidėtas.</w:t>
            </w:r>
          </w:p>
          <w:p w:rsidR="002D5ADF" w:rsidRDefault="002D5ADF" w:rsidP="002D5ADF">
            <w:pPr>
              <w:pStyle w:val="ListParagraph"/>
              <w:numPr>
                <w:ilvl w:val="1"/>
                <w:numId w:val="6"/>
              </w:numPr>
              <w:ind w:left="601" w:hanging="284"/>
              <w:rPr>
                <w:szCs w:val="24"/>
              </w:rPr>
            </w:pPr>
            <w:r>
              <w:rPr>
                <w:szCs w:val="24"/>
              </w:rPr>
              <w:t>2015-12-29 VKEKK viešam derinimui pateikė šiuos projektus (nuostatos iš esmės nepasikeitė nuo anksčiau teikto Šilumos paskirstymo taisyklių projekto):</w:t>
            </w:r>
          </w:p>
          <w:p w:rsidR="002D5ADF" w:rsidRPr="002D5ADF" w:rsidRDefault="002D5ADF" w:rsidP="002D5ADF">
            <w:pPr>
              <w:pStyle w:val="ListParagraph"/>
              <w:numPr>
                <w:ilvl w:val="0"/>
                <w:numId w:val="25"/>
              </w:numPr>
              <w:contextualSpacing w:val="0"/>
              <w:rPr>
                <w:bCs/>
                <w:iCs/>
              </w:rPr>
            </w:pPr>
            <w:r w:rsidRPr="002D5ADF">
              <w:rPr>
                <w:bCs/>
                <w:iCs/>
              </w:rPr>
              <w:t>Šilumos pagal dviejų atsiskaitomųjų šilumos apskaitos prietaisų rodmenis paskirstymo metodo Nr. 1 projektas;</w:t>
            </w:r>
          </w:p>
          <w:p w:rsidR="002D5ADF" w:rsidRPr="002D5ADF" w:rsidRDefault="002D5ADF" w:rsidP="002D5ADF">
            <w:pPr>
              <w:pStyle w:val="ListParagraph"/>
              <w:numPr>
                <w:ilvl w:val="0"/>
                <w:numId w:val="25"/>
              </w:numPr>
              <w:contextualSpacing w:val="0"/>
              <w:rPr>
                <w:bCs/>
                <w:iCs/>
              </w:rPr>
            </w:pPr>
            <w:r w:rsidRPr="002D5ADF">
              <w:rPr>
                <w:bCs/>
                <w:iCs/>
              </w:rPr>
              <w:t xml:space="preserve">Šilumos, kai butuose ir (ar) kitose patalpose įrengti kompaktiniai šilumos punktai, paskirstymo metodo Nr. 2 projektas; </w:t>
            </w:r>
          </w:p>
          <w:p w:rsidR="002D5ADF" w:rsidRPr="002D5ADF" w:rsidRDefault="002D5ADF" w:rsidP="002D5ADF">
            <w:pPr>
              <w:pStyle w:val="ListParagraph"/>
              <w:numPr>
                <w:ilvl w:val="0"/>
                <w:numId w:val="25"/>
              </w:numPr>
              <w:contextualSpacing w:val="0"/>
              <w:rPr>
                <w:bCs/>
                <w:iCs/>
              </w:rPr>
            </w:pPr>
            <w:r w:rsidRPr="002D5ADF">
              <w:rPr>
                <w:bCs/>
                <w:iCs/>
              </w:rPr>
              <w:t>Šilumos pagal buitinių šilumos skaitiklių rodmenis paskirstymo metodo Nr. 3 projektas;</w:t>
            </w:r>
          </w:p>
          <w:p w:rsidR="002D5ADF" w:rsidRPr="002D5ADF" w:rsidRDefault="002D5ADF" w:rsidP="002D5ADF">
            <w:pPr>
              <w:pStyle w:val="ListParagraph"/>
              <w:numPr>
                <w:ilvl w:val="0"/>
                <w:numId w:val="25"/>
              </w:numPr>
              <w:contextualSpacing w:val="0"/>
              <w:rPr>
                <w:bCs/>
                <w:iCs/>
              </w:rPr>
            </w:pPr>
            <w:r w:rsidRPr="002D5ADF">
              <w:rPr>
                <w:bCs/>
                <w:iCs/>
              </w:rPr>
              <w:t>Šilumos pagal vieno įvadinio šilumos apskaitos prietaiso rodmenis paskirstymo metodo Nr. 4 projektas;</w:t>
            </w:r>
          </w:p>
          <w:p w:rsidR="002D5ADF" w:rsidRPr="002D5ADF" w:rsidRDefault="002D5ADF" w:rsidP="002D5ADF">
            <w:pPr>
              <w:pStyle w:val="ListParagraph"/>
              <w:numPr>
                <w:ilvl w:val="0"/>
                <w:numId w:val="25"/>
              </w:numPr>
              <w:contextualSpacing w:val="0"/>
              <w:rPr>
                <w:bCs/>
                <w:iCs/>
              </w:rPr>
            </w:pPr>
            <w:r w:rsidRPr="002D5ADF">
              <w:rPr>
                <w:bCs/>
                <w:iCs/>
              </w:rPr>
              <w:t>Šilumos kiekio pastato naudingajam plotui šildyti ir bendrosioms reikmėms nustatymo bei paskirstymo metodo Nr. 5 projektas;</w:t>
            </w:r>
          </w:p>
          <w:p w:rsidR="002D5ADF" w:rsidRPr="002D5ADF" w:rsidRDefault="002D5ADF" w:rsidP="002D5ADF">
            <w:pPr>
              <w:pStyle w:val="ListParagraph"/>
              <w:numPr>
                <w:ilvl w:val="0"/>
                <w:numId w:val="25"/>
              </w:numPr>
              <w:contextualSpacing w:val="0"/>
              <w:rPr>
                <w:bCs/>
                <w:iCs/>
              </w:rPr>
            </w:pPr>
            <w:r w:rsidRPr="002D5ADF">
              <w:rPr>
                <w:bCs/>
                <w:iCs/>
              </w:rPr>
              <w:t>Šilumos šildymui paskirstymo dalikliais metodo Nr. 6 projektas;</w:t>
            </w:r>
          </w:p>
          <w:p w:rsidR="002D5ADF" w:rsidRPr="002D5ADF" w:rsidRDefault="002D5ADF" w:rsidP="002D5ADF">
            <w:pPr>
              <w:pStyle w:val="ListParagraph"/>
              <w:numPr>
                <w:ilvl w:val="0"/>
                <w:numId w:val="25"/>
              </w:numPr>
              <w:contextualSpacing w:val="0"/>
              <w:rPr>
                <w:bCs/>
                <w:iCs/>
              </w:rPr>
            </w:pPr>
            <w:r w:rsidRPr="002D5ADF">
              <w:rPr>
                <w:bCs/>
                <w:iCs/>
              </w:rPr>
              <w:t>Klaipėdos miesto I. Simonaitytės g. 27 daugiabučio namo savininkų bendrijos „Dvyniai“ vartotojų pasiūlyto šilumos paskirstymo metodo Nr. 7 projektas;</w:t>
            </w:r>
          </w:p>
          <w:p w:rsidR="002D5ADF" w:rsidRDefault="002D5ADF" w:rsidP="002D5ADF">
            <w:pPr>
              <w:pStyle w:val="ListParagraph"/>
              <w:numPr>
                <w:ilvl w:val="0"/>
                <w:numId w:val="25"/>
              </w:numPr>
              <w:contextualSpacing w:val="0"/>
              <w:rPr>
                <w:bCs/>
                <w:iCs/>
              </w:rPr>
            </w:pPr>
            <w:r w:rsidRPr="002D5ADF">
              <w:rPr>
                <w:bCs/>
                <w:iCs/>
              </w:rPr>
              <w:t xml:space="preserve">Šilumos renovuotoje </w:t>
            </w:r>
            <w:proofErr w:type="spellStart"/>
            <w:r w:rsidRPr="002D5ADF">
              <w:rPr>
                <w:bCs/>
                <w:iCs/>
              </w:rPr>
              <w:t>trivamzdėje</w:t>
            </w:r>
            <w:proofErr w:type="spellEnd"/>
            <w:r w:rsidRPr="002D5ADF">
              <w:rPr>
                <w:bCs/>
                <w:iCs/>
              </w:rPr>
              <w:t xml:space="preserve"> šildymo sistemoje paskirstymo metodo Nr. 8 projektas;</w:t>
            </w:r>
          </w:p>
          <w:p w:rsidR="002D5ADF" w:rsidRDefault="002D5ADF" w:rsidP="002D5ADF">
            <w:pPr>
              <w:pStyle w:val="ListParagraph"/>
              <w:numPr>
                <w:ilvl w:val="0"/>
                <w:numId w:val="25"/>
              </w:numPr>
              <w:contextualSpacing w:val="0"/>
              <w:rPr>
                <w:bCs/>
                <w:iCs/>
              </w:rPr>
            </w:pPr>
            <w:r w:rsidRPr="002D5ADF">
              <w:rPr>
                <w:bCs/>
                <w:iCs/>
              </w:rPr>
              <w:t xml:space="preserve">Šilumos paskirstymo, nustatant faktines šilumos </w:t>
            </w:r>
            <w:r w:rsidRPr="002D5ADF">
              <w:rPr>
                <w:bCs/>
                <w:iCs/>
              </w:rPr>
              <w:lastRenderedPageBreak/>
              <w:t>sąnaudas 1 m3 karšto vandens paruošti, metodo Nr. 9 projektas</w:t>
            </w:r>
            <w:r>
              <w:rPr>
                <w:bCs/>
                <w:iCs/>
              </w:rPr>
              <w:t>;</w:t>
            </w:r>
          </w:p>
          <w:p w:rsidR="002D5ADF" w:rsidRPr="002D5ADF" w:rsidRDefault="002D5ADF" w:rsidP="002D5ADF">
            <w:pPr>
              <w:pStyle w:val="ListParagraph"/>
              <w:numPr>
                <w:ilvl w:val="0"/>
                <w:numId w:val="25"/>
              </w:numPr>
              <w:contextualSpacing w:val="0"/>
              <w:rPr>
                <w:bCs/>
                <w:iCs/>
              </w:rPr>
            </w:pPr>
            <w:r w:rsidRPr="002D5ADF">
              <w:rPr>
                <w:bCs/>
                <w:iCs/>
              </w:rPr>
              <w:t>Pastato bendrosioms reikmėms sunaudotos šilumos ir (ar) karšto vandens bei šilumos kiekio bendrojo naudojimo patalpoms šildyti kiekių nustatymo ir paskirstymo apibendrin</w:t>
            </w:r>
            <w:r>
              <w:rPr>
                <w:bCs/>
                <w:iCs/>
              </w:rPr>
              <w:t>to metodo Nr. 10 pripažinimo netekus</w:t>
            </w:r>
            <w:r w:rsidRPr="002D5ADF">
              <w:rPr>
                <w:bCs/>
                <w:iCs/>
              </w:rPr>
              <w:t xml:space="preserve"> galios projekt</w:t>
            </w:r>
            <w:r>
              <w:rPr>
                <w:bCs/>
                <w:iCs/>
              </w:rPr>
              <w:t>as.</w:t>
            </w:r>
          </w:p>
        </w:tc>
      </w:tr>
    </w:tbl>
    <w:p w:rsidR="00653808" w:rsidRPr="008559DC" w:rsidRDefault="00653808" w:rsidP="0000594D">
      <w:pPr>
        <w:rPr>
          <w:rFonts w:ascii="Times New Roman" w:hAnsi="Times New Roman"/>
          <w:b/>
          <w:sz w:val="24"/>
          <w:szCs w:val="24"/>
          <w:lang w:val="lt-LT"/>
        </w:rPr>
      </w:pPr>
    </w:p>
    <w:sectPr w:rsidR="00653808" w:rsidRPr="008559DC" w:rsidSect="00BD7F7C">
      <w:headerReference w:type="default" r:id="rId10"/>
      <w:footerReference w:type="default" r:id="rId11"/>
      <w:headerReference w:type="first" r:id="rId12"/>
      <w:pgSz w:w="11907" w:h="16840" w:code="9"/>
      <w:pgMar w:top="567" w:right="1134" w:bottom="567" w:left="567" w:header="45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31" w:rsidRDefault="00122031" w:rsidP="00E433A1">
      <w:r>
        <w:separator/>
      </w:r>
    </w:p>
  </w:endnote>
  <w:endnote w:type="continuationSeparator" w:id="0">
    <w:p w:rsidR="00122031" w:rsidRDefault="00122031" w:rsidP="00E4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16" w:rsidRDefault="00DD57DD">
    <w:pPr>
      <w:pStyle w:val="Footer"/>
      <w:jc w:val="right"/>
    </w:pPr>
    <w:r>
      <w:fldChar w:fldCharType="begin"/>
    </w:r>
    <w:r w:rsidR="00654146">
      <w:instrText xml:space="preserve"> PAGE   \* MERGEFORMAT </w:instrText>
    </w:r>
    <w:r>
      <w:fldChar w:fldCharType="separate"/>
    </w:r>
    <w:r w:rsidR="001819B3">
      <w:rPr>
        <w:noProof/>
      </w:rPr>
      <w:t>7</w:t>
    </w:r>
    <w:r>
      <w:rPr>
        <w:noProof/>
      </w:rPr>
      <w:fldChar w:fldCharType="end"/>
    </w:r>
  </w:p>
  <w:p w:rsidR="004E0116" w:rsidRDefault="004E0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31" w:rsidRDefault="00122031" w:rsidP="00E433A1">
      <w:r>
        <w:separator/>
      </w:r>
    </w:p>
  </w:footnote>
  <w:footnote w:type="continuationSeparator" w:id="0">
    <w:p w:rsidR="00122031" w:rsidRDefault="00122031" w:rsidP="00E43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16" w:rsidRDefault="004E0116" w:rsidP="00E433A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7C" w:rsidRDefault="001819B3" w:rsidP="00BD7F7C">
    <w:pPr>
      <w:pStyle w:val="Header"/>
      <w:jc w:val="right"/>
    </w:pPr>
    <w:r>
      <w:rPr>
        <w:rFonts w:ascii="Times New Roman" w:hAnsi="Times New Roman"/>
        <w:b/>
        <w:sz w:val="24"/>
        <w:szCs w:val="24"/>
      </w:rPr>
      <w:t>PRIEDAS 1.2</w:t>
    </w:r>
  </w:p>
  <w:p w:rsidR="00BD7F7C" w:rsidRDefault="00BD7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F63"/>
    <w:multiLevelType w:val="hybridMultilevel"/>
    <w:tmpl w:val="F27E541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nsid w:val="03396339"/>
    <w:multiLevelType w:val="hybridMultilevel"/>
    <w:tmpl w:val="DDF0F694"/>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
    <w:nsid w:val="0BBE26E4"/>
    <w:multiLevelType w:val="hybridMultilevel"/>
    <w:tmpl w:val="673832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BEA341A"/>
    <w:multiLevelType w:val="hybridMultilevel"/>
    <w:tmpl w:val="F54895E0"/>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4">
    <w:nsid w:val="0F705B75"/>
    <w:multiLevelType w:val="hybridMultilevel"/>
    <w:tmpl w:val="747AF7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2D93F61"/>
    <w:multiLevelType w:val="hybridMultilevel"/>
    <w:tmpl w:val="41BAF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30E4174"/>
    <w:multiLevelType w:val="hybridMultilevel"/>
    <w:tmpl w:val="91363338"/>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7">
    <w:nsid w:val="185F210F"/>
    <w:multiLevelType w:val="hybridMultilevel"/>
    <w:tmpl w:val="D986839A"/>
    <w:lvl w:ilvl="0" w:tplc="04270001">
      <w:start w:val="1"/>
      <w:numFmt w:val="bullet"/>
      <w:lvlText w:val=""/>
      <w:lvlJc w:val="left"/>
      <w:pPr>
        <w:ind w:left="1321" w:hanging="360"/>
      </w:pPr>
      <w:rPr>
        <w:rFonts w:ascii="Symbol" w:hAnsi="Symbol"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8">
    <w:nsid w:val="22C93B8D"/>
    <w:multiLevelType w:val="hybridMultilevel"/>
    <w:tmpl w:val="835621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34B2AF6"/>
    <w:multiLevelType w:val="hybridMultilevel"/>
    <w:tmpl w:val="BB068AA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7273A6F"/>
    <w:multiLevelType w:val="hybridMultilevel"/>
    <w:tmpl w:val="0682EB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8A31F9E"/>
    <w:multiLevelType w:val="hybridMultilevel"/>
    <w:tmpl w:val="4D285C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A9F3E4E"/>
    <w:multiLevelType w:val="hybridMultilevel"/>
    <w:tmpl w:val="8BEA0BD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0277869"/>
    <w:multiLevelType w:val="hybridMultilevel"/>
    <w:tmpl w:val="D0D0729A"/>
    <w:lvl w:ilvl="0" w:tplc="0427000F">
      <w:start w:val="1"/>
      <w:numFmt w:val="decimal"/>
      <w:lvlText w:val="%1."/>
      <w:lvlJc w:val="left"/>
      <w:pPr>
        <w:ind w:left="720" w:hanging="360"/>
      </w:p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8AF5C45"/>
    <w:multiLevelType w:val="hybridMultilevel"/>
    <w:tmpl w:val="17186B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9D610E7"/>
    <w:multiLevelType w:val="hybridMultilevel"/>
    <w:tmpl w:val="54C0CB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EC1216F"/>
    <w:multiLevelType w:val="hybridMultilevel"/>
    <w:tmpl w:val="BC2A28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1A47E79"/>
    <w:multiLevelType w:val="hybridMultilevel"/>
    <w:tmpl w:val="6B24E62E"/>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44C4AFF"/>
    <w:multiLevelType w:val="hybridMultilevel"/>
    <w:tmpl w:val="9FDC2B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453715E6"/>
    <w:multiLevelType w:val="hybridMultilevel"/>
    <w:tmpl w:val="A21A4AC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4869283D"/>
    <w:multiLevelType w:val="hybridMultilevel"/>
    <w:tmpl w:val="8C82DAE8"/>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1">
    <w:nsid w:val="57CC64FC"/>
    <w:multiLevelType w:val="hybridMultilevel"/>
    <w:tmpl w:val="BA4C7778"/>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664668A1"/>
    <w:multiLevelType w:val="hybridMultilevel"/>
    <w:tmpl w:val="F2F89C3A"/>
    <w:lvl w:ilvl="0" w:tplc="9ECC7A08">
      <w:numFmt w:val="bullet"/>
      <w:lvlText w:val="-"/>
      <w:lvlJc w:val="left"/>
      <w:pPr>
        <w:ind w:left="720" w:hanging="360"/>
      </w:pPr>
      <w:rPr>
        <w:rFonts w:ascii="Calibri" w:eastAsia="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3">
    <w:nsid w:val="674C1A2A"/>
    <w:multiLevelType w:val="hybridMultilevel"/>
    <w:tmpl w:val="DFD0E0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6A162EF0"/>
    <w:multiLevelType w:val="hybridMultilevel"/>
    <w:tmpl w:val="AB960B9E"/>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num w:numId="1">
    <w:abstractNumId w:val="2"/>
  </w:num>
  <w:num w:numId="2">
    <w:abstractNumId w:val="18"/>
  </w:num>
  <w:num w:numId="3">
    <w:abstractNumId w:val="20"/>
  </w:num>
  <w:num w:numId="4">
    <w:abstractNumId w:val="6"/>
  </w:num>
  <w:num w:numId="5">
    <w:abstractNumId w:val="12"/>
  </w:num>
  <w:num w:numId="6">
    <w:abstractNumId w:val="13"/>
  </w:num>
  <w:num w:numId="7">
    <w:abstractNumId w:val="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6"/>
  </w:num>
  <w:num w:numId="11">
    <w:abstractNumId w:val="5"/>
  </w:num>
  <w:num w:numId="12">
    <w:abstractNumId w:val="15"/>
  </w:num>
  <w:num w:numId="13">
    <w:abstractNumId w:val="17"/>
  </w:num>
  <w:num w:numId="14">
    <w:abstractNumId w:val="3"/>
  </w:num>
  <w:num w:numId="15">
    <w:abstractNumId w:val="10"/>
  </w:num>
  <w:num w:numId="16">
    <w:abstractNumId w:val="4"/>
  </w:num>
  <w:num w:numId="17">
    <w:abstractNumId w:val="9"/>
  </w:num>
  <w:num w:numId="18">
    <w:abstractNumId w:val="7"/>
  </w:num>
  <w:num w:numId="19">
    <w:abstractNumId w:val="14"/>
  </w:num>
  <w:num w:numId="20">
    <w:abstractNumId w:val="8"/>
  </w:num>
  <w:num w:numId="21">
    <w:abstractNumId w:val="0"/>
  </w:num>
  <w:num w:numId="22">
    <w:abstractNumId w:val="24"/>
  </w:num>
  <w:num w:numId="23">
    <w:abstractNumId w:val="1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42"/>
    <w:rsid w:val="0000594D"/>
    <w:rsid w:val="000101D7"/>
    <w:rsid w:val="00032888"/>
    <w:rsid w:val="000369B7"/>
    <w:rsid w:val="00037881"/>
    <w:rsid w:val="00042E8D"/>
    <w:rsid w:val="000503A5"/>
    <w:rsid w:val="00051EC5"/>
    <w:rsid w:val="00054DEB"/>
    <w:rsid w:val="0005696F"/>
    <w:rsid w:val="00072240"/>
    <w:rsid w:val="00076543"/>
    <w:rsid w:val="000940D3"/>
    <w:rsid w:val="00096541"/>
    <w:rsid w:val="00096574"/>
    <w:rsid w:val="000A24D8"/>
    <w:rsid w:val="000A448D"/>
    <w:rsid w:val="000A491B"/>
    <w:rsid w:val="000A5DE0"/>
    <w:rsid w:val="000B740A"/>
    <w:rsid w:val="000D76C0"/>
    <w:rsid w:val="000E24AC"/>
    <w:rsid w:val="000E735D"/>
    <w:rsid w:val="000F4B0E"/>
    <w:rsid w:val="000F56E7"/>
    <w:rsid w:val="00101264"/>
    <w:rsid w:val="0010629C"/>
    <w:rsid w:val="00111980"/>
    <w:rsid w:val="001129B7"/>
    <w:rsid w:val="001145DB"/>
    <w:rsid w:val="001214F0"/>
    <w:rsid w:val="00121C6C"/>
    <w:rsid w:val="00122031"/>
    <w:rsid w:val="00130C5D"/>
    <w:rsid w:val="00134626"/>
    <w:rsid w:val="00144E12"/>
    <w:rsid w:val="001514B7"/>
    <w:rsid w:val="001607CF"/>
    <w:rsid w:val="00162159"/>
    <w:rsid w:val="00164D22"/>
    <w:rsid w:val="00175542"/>
    <w:rsid w:val="001819B3"/>
    <w:rsid w:val="00181C92"/>
    <w:rsid w:val="001835A8"/>
    <w:rsid w:val="001951E2"/>
    <w:rsid w:val="00196334"/>
    <w:rsid w:val="0019743B"/>
    <w:rsid w:val="0019744E"/>
    <w:rsid w:val="001A38A2"/>
    <w:rsid w:val="001A3EB9"/>
    <w:rsid w:val="001B0A3E"/>
    <w:rsid w:val="001C326D"/>
    <w:rsid w:val="001D354B"/>
    <w:rsid w:val="001E3105"/>
    <w:rsid w:val="001F2E10"/>
    <w:rsid w:val="00202884"/>
    <w:rsid w:val="00217730"/>
    <w:rsid w:val="002224C3"/>
    <w:rsid w:val="002263CC"/>
    <w:rsid w:val="00234223"/>
    <w:rsid w:val="00240BEE"/>
    <w:rsid w:val="00246398"/>
    <w:rsid w:val="00266165"/>
    <w:rsid w:val="002663C2"/>
    <w:rsid w:val="002665D6"/>
    <w:rsid w:val="00271598"/>
    <w:rsid w:val="00272550"/>
    <w:rsid w:val="002752DD"/>
    <w:rsid w:val="002820F2"/>
    <w:rsid w:val="002827DC"/>
    <w:rsid w:val="002832FE"/>
    <w:rsid w:val="0028449E"/>
    <w:rsid w:val="002849FD"/>
    <w:rsid w:val="002A33E5"/>
    <w:rsid w:val="002B3EE5"/>
    <w:rsid w:val="002C2F7C"/>
    <w:rsid w:val="002C3383"/>
    <w:rsid w:val="002C5BA1"/>
    <w:rsid w:val="002C7931"/>
    <w:rsid w:val="002D0DA7"/>
    <w:rsid w:val="002D4F4E"/>
    <w:rsid w:val="002D5ADF"/>
    <w:rsid w:val="002D7BE8"/>
    <w:rsid w:val="00300E43"/>
    <w:rsid w:val="003053FB"/>
    <w:rsid w:val="003075E4"/>
    <w:rsid w:val="00316E20"/>
    <w:rsid w:val="00317B84"/>
    <w:rsid w:val="00320E6F"/>
    <w:rsid w:val="00321EA9"/>
    <w:rsid w:val="0034424F"/>
    <w:rsid w:val="00352722"/>
    <w:rsid w:val="00354554"/>
    <w:rsid w:val="00360791"/>
    <w:rsid w:val="00365BE0"/>
    <w:rsid w:val="0036606C"/>
    <w:rsid w:val="00372066"/>
    <w:rsid w:val="00372959"/>
    <w:rsid w:val="00372A11"/>
    <w:rsid w:val="00374510"/>
    <w:rsid w:val="0037788E"/>
    <w:rsid w:val="0038341F"/>
    <w:rsid w:val="00384815"/>
    <w:rsid w:val="0039227C"/>
    <w:rsid w:val="003A68B8"/>
    <w:rsid w:val="003B2FF1"/>
    <w:rsid w:val="003C0C45"/>
    <w:rsid w:val="003C615C"/>
    <w:rsid w:val="003D175D"/>
    <w:rsid w:val="003D42FE"/>
    <w:rsid w:val="003D7A4E"/>
    <w:rsid w:val="004027CC"/>
    <w:rsid w:val="00403380"/>
    <w:rsid w:val="00404BE5"/>
    <w:rsid w:val="00405CCF"/>
    <w:rsid w:val="00415682"/>
    <w:rsid w:val="004278C6"/>
    <w:rsid w:val="00432D60"/>
    <w:rsid w:val="00435710"/>
    <w:rsid w:val="00445A34"/>
    <w:rsid w:val="00467709"/>
    <w:rsid w:val="00481695"/>
    <w:rsid w:val="00483895"/>
    <w:rsid w:val="004917D2"/>
    <w:rsid w:val="004B00BA"/>
    <w:rsid w:val="004B1F2F"/>
    <w:rsid w:val="004D01BC"/>
    <w:rsid w:val="004D38C4"/>
    <w:rsid w:val="004D3ADE"/>
    <w:rsid w:val="004E0116"/>
    <w:rsid w:val="004E1077"/>
    <w:rsid w:val="004E1260"/>
    <w:rsid w:val="004E537F"/>
    <w:rsid w:val="0050655D"/>
    <w:rsid w:val="005143DD"/>
    <w:rsid w:val="00515AD9"/>
    <w:rsid w:val="0052067C"/>
    <w:rsid w:val="00523C0B"/>
    <w:rsid w:val="00534913"/>
    <w:rsid w:val="00540C80"/>
    <w:rsid w:val="00543ACF"/>
    <w:rsid w:val="00552B00"/>
    <w:rsid w:val="00555009"/>
    <w:rsid w:val="005601FB"/>
    <w:rsid w:val="00561FDB"/>
    <w:rsid w:val="00566D34"/>
    <w:rsid w:val="00570162"/>
    <w:rsid w:val="00580A25"/>
    <w:rsid w:val="00582640"/>
    <w:rsid w:val="00584749"/>
    <w:rsid w:val="0058518C"/>
    <w:rsid w:val="0059079D"/>
    <w:rsid w:val="00590F0C"/>
    <w:rsid w:val="00593097"/>
    <w:rsid w:val="005977EE"/>
    <w:rsid w:val="005A0F12"/>
    <w:rsid w:val="005A41C3"/>
    <w:rsid w:val="005B4773"/>
    <w:rsid w:val="005D1A2B"/>
    <w:rsid w:val="005D7AE1"/>
    <w:rsid w:val="005E1BE5"/>
    <w:rsid w:val="005E3202"/>
    <w:rsid w:val="005E343E"/>
    <w:rsid w:val="005E3D7C"/>
    <w:rsid w:val="005E50C5"/>
    <w:rsid w:val="005F470F"/>
    <w:rsid w:val="00602AA9"/>
    <w:rsid w:val="00603EDB"/>
    <w:rsid w:val="006078BF"/>
    <w:rsid w:val="00627BC6"/>
    <w:rsid w:val="00633B2F"/>
    <w:rsid w:val="006356A8"/>
    <w:rsid w:val="006364D4"/>
    <w:rsid w:val="0064581C"/>
    <w:rsid w:val="00645BA9"/>
    <w:rsid w:val="00652AF8"/>
    <w:rsid w:val="00653808"/>
    <w:rsid w:val="00654146"/>
    <w:rsid w:val="006603FE"/>
    <w:rsid w:val="00662A51"/>
    <w:rsid w:val="0066546B"/>
    <w:rsid w:val="006724E8"/>
    <w:rsid w:val="00683070"/>
    <w:rsid w:val="00686CF7"/>
    <w:rsid w:val="006B67C9"/>
    <w:rsid w:val="006E03A6"/>
    <w:rsid w:val="006E38EB"/>
    <w:rsid w:val="006E4EF8"/>
    <w:rsid w:val="007202D7"/>
    <w:rsid w:val="00720D03"/>
    <w:rsid w:val="00721211"/>
    <w:rsid w:val="00731931"/>
    <w:rsid w:val="007362A9"/>
    <w:rsid w:val="00741A39"/>
    <w:rsid w:val="00743850"/>
    <w:rsid w:val="00744D3E"/>
    <w:rsid w:val="007466FC"/>
    <w:rsid w:val="007502D5"/>
    <w:rsid w:val="0075434F"/>
    <w:rsid w:val="0075442E"/>
    <w:rsid w:val="0076067D"/>
    <w:rsid w:val="00766361"/>
    <w:rsid w:val="00770933"/>
    <w:rsid w:val="007757D4"/>
    <w:rsid w:val="00782B61"/>
    <w:rsid w:val="00783BF7"/>
    <w:rsid w:val="007960B4"/>
    <w:rsid w:val="007A0AD4"/>
    <w:rsid w:val="007B5FA5"/>
    <w:rsid w:val="007D1744"/>
    <w:rsid w:val="008022AC"/>
    <w:rsid w:val="0080530A"/>
    <w:rsid w:val="00814B59"/>
    <w:rsid w:val="00820B14"/>
    <w:rsid w:val="00820FF4"/>
    <w:rsid w:val="008212FD"/>
    <w:rsid w:val="0083474A"/>
    <w:rsid w:val="008367AF"/>
    <w:rsid w:val="00850508"/>
    <w:rsid w:val="00850FAA"/>
    <w:rsid w:val="00851DB0"/>
    <w:rsid w:val="008559DC"/>
    <w:rsid w:val="0086109D"/>
    <w:rsid w:val="00863617"/>
    <w:rsid w:val="008644A9"/>
    <w:rsid w:val="00877356"/>
    <w:rsid w:val="008809A1"/>
    <w:rsid w:val="008827A2"/>
    <w:rsid w:val="00884893"/>
    <w:rsid w:val="00885D0D"/>
    <w:rsid w:val="00890DCC"/>
    <w:rsid w:val="00895723"/>
    <w:rsid w:val="008A3571"/>
    <w:rsid w:val="008A3C26"/>
    <w:rsid w:val="008A459D"/>
    <w:rsid w:val="008B350B"/>
    <w:rsid w:val="008B777D"/>
    <w:rsid w:val="008C2423"/>
    <w:rsid w:val="008C7C75"/>
    <w:rsid w:val="008D0108"/>
    <w:rsid w:val="008D4C44"/>
    <w:rsid w:val="008E4657"/>
    <w:rsid w:val="008F2D9B"/>
    <w:rsid w:val="008F6D0A"/>
    <w:rsid w:val="009037E8"/>
    <w:rsid w:val="00917B0F"/>
    <w:rsid w:val="00920581"/>
    <w:rsid w:val="009315C6"/>
    <w:rsid w:val="0096787E"/>
    <w:rsid w:val="009A7F4E"/>
    <w:rsid w:val="009C5103"/>
    <w:rsid w:val="009D229D"/>
    <w:rsid w:val="009D54BD"/>
    <w:rsid w:val="009D6857"/>
    <w:rsid w:val="009E0697"/>
    <w:rsid w:val="009E2E99"/>
    <w:rsid w:val="009F0EE1"/>
    <w:rsid w:val="009F1E58"/>
    <w:rsid w:val="009F5220"/>
    <w:rsid w:val="00A0156A"/>
    <w:rsid w:val="00A1099B"/>
    <w:rsid w:val="00A12AB0"/>
    <w:rsid w:val="00A132C3"/>
    <w:rsid w:val="00A21C41"/>
    <w:rsid w:val="00A31139"/>
    <w:rsid w:val="00A336E0"/>
    <w:rsid w:val="00A37CC4"/>
    <w:rsid w:val="00A413D2"/>
    <w:rsid w:val="00A414ED"/>
    <w:rsid w:val="00A421DB"/>
    <w:rsid w:val="00A43DCD"/>
    <w:rsid w:val="00A46057"/>
    <w:rsid w:val="00A4659C"/>
    <w:rsid w:val="00A47BD1"/>
    <w:rsid w:val="00A5371D"/>
    <w:rsid w:val="00A54DF5"/>
    <w:rsid w:val="00A624FB"/>
    <w:rsid w:val="00A761D7"/>
    <w:rsid w:val="00A83F05"/>
    <w:rsid w:val="00AB0DF8"/>
    <w:rsid w:val="00AB3C81"/>
    <w:rsid w:val="00AB59AD"/>
    <w:rsid w:val="00AB60D4"/>
    <w:rsid w:val="00AC62AE"/>
    <w:rsid w:val="00AC6E2E"/>
    <w:rsid w:val="00AC76E2"/>
    <w:rsid w:val="00AD3E3F"/>
    <w:rsid w:val="00AD5FA3"/>
    <w:rsid w:val="00AD7F23"/>
    <w:rsid w:val="00AE73B6"/>
    <w:rsid w:val="00AE7E3C"/>
    <w:rsid w:val="00AF0C69"/>
    <w:rsid w:val="00AF4041"/>
    <w:rsid w:val="00AF647E"/>
    <w:rsid w:val="00B04B55"/>
    <w:rsid w:val="00B14BC1"/>
    <w:rsid w:val="00B14D5D"/>
    <w:rsid w:val="00B16E8C"/>
    <w:rsid w:val="00B207A7"/>
    <w:rsid w:val="00B2205A"/>
    <w:rsid w:val="00B22528"/>
    <w:rsid w:val="00B2424D"/>
    <w:rsid w:val="00B41C44"/>
    <w:rsid w:val="00B463EB"/>
    <w:rsid w:val="00B46D4E"/>
    <w:rsid w:val="00B50647"/>
    <w:rsid w:val="00B51DFB"/>
    <w:rsid w:val="00B81E68"/>
    <w:rsid w:val="00B85839"/>
    <w:rsid w:val="00B87B5D"/>
    <w:rsid w:val="00B90C7C"/>
    <w:rsid w:val="00B93524"/>
    <w:rsid w:val="00B94C72"/>
    <w:rsid w:val="00B957AA"/>
    <w:rsid w:val="00B961CD"/>
    <w:rsid w:val="00B964F4"/>
    <w:rsid w:val="00BA25C5"/>
    <w:rsid w:val="00BA340A"/>
    <w:rsid w:val="00BC1CE7"/>
    <w:rsid w:val="00BC4B08"/>
    <w:rsid w:val="00BC7B2A"/>
    <w:rsid w:val="00BD7E1A"/>
    <w:rsid w:val="00BD7F7C"/>
    <w:rsid w:val="00C00632"/>
    <w:rsid w:val="00C11BBD"/>
    <w:rsid w:val="00C22DD7"/>
    <w:rsid w:val="00C304AF"/>
    <w:rsid w:val="00C3085A"/>
    <w:rsid w:val="00C3354D"/>
    <w:rsid w:val="00C400A3"/>
    <w:rsid w:val="00C41CB0"/>
    <w:rsid w:val="00C435A7"/>
    <w:rsid w:val="00C5396C"/>
    <w:rsid w:val="00C62E66"/>
    <w:rsid w:val="00C715A6"/>
    <w:rsid w:val="00C74E77"/>
    <w:rsid w:val="00C77469"/>
    <w:rsid w:val="00C82C04"/>
    <w:rsid w:val="00C91991"/>
    <w:rsid w:val="00C96983"/>
    <w:rsid w:val="00CA6CF8"/>
    <w:rsid w:val="00CB5615"/>
    <w:rsid w:val="00CC4766"/>
    <w:rsid w:val="00CE0593"/>
    <w:rsid w:val="00CE16F2"/>
    <w:rsid w:val="00CE491C"/>
    <w:rsid w:val="00CE6743"/>
    <w:rsid w:val="00CE70C0"/>
    <w:rsid w:val="00CE7C2F"/>
    <w:rsid w:val="00D01E42"/>
    <w:rsid w:val="00D04B60"/>
    <w:rsid w:val="00D07EC7"/>
    <w:rsid w:val="00D12412"/>
    <w:rsid w:val="00D211C5"/>
    <w:rsid w:val="00D33498"/>
    <w:rsid w:val="00D42021"/>
    <w:rsid w:val="00D50447"/>
    <w:rsid w:val="00D52B2C"/>
    <w:rsid w:val="00D54B2B"/>
    <w:rsid w:val="00D655C6"/>
    <w:rsid w:val="00D67567"/>
    <w:rsid w:val="00D7156F"/>
    <w:rsid w:val="00D80A20"/>
    <w:rsid w:val="00D824B6"/>
    <w:rsid w:val="00D91377"/>
    <w:rsid w:val="00DA1EE9"/>
    <w:rsid w:val="00DA7EDA"/>
    <w:rsid w:val="00DC7F42"/>
    <w:rsid w:val="00DD0E65"/>
    <w:rsid w:val="00DD31A5"/>
    <w:rsid w:val="00DD4839"/>
    <w:rsid w:val="00DD567C"/>
    <w:rsid w:val="00DD57DD"/>
    <w:rsid w:val="00DD7960"/>
    <w:rsid w:val="00DE22FE"/>
    <w:rsid w:val="00DE421F"/>
    <w:rsid w:val="00DE466E"/>
    <w:rsid w:val="00DE7AB8"/>
    <w:rsid w:val="00DF26E0"/>
    <w:rsid w:val="00DF53E9"/>
    <w:rsid w:val="00DF7AC1"/>
    <w:rsid w:val="00E03AC6"/>
    <w:rsid w:val="00E0515B"/>
    <w:rsid w:val="00E12410"/>
    <w:rsid w:val="00E14DF0"/>
    <w:rsid w:val="00E14EC8"/>
    <w:rsid w:val="00E17058"/>
    <w:rsid w:val="00E20FD8"/>
    <w:rsid w:val="00E222DC"/>
    <w:rsid w:val="00E41945"/>
    <w:rsid w:val="00E433A1"/>
    <w:rsid w:val="00E56478"/>
    <w:rsid w:val="00E64164"/>
    <w:rsid w:val="00E70BEA"/>
    <w:rsid w:val="00E75346"/>
    <w:rsid w:val="00E77292"/>
    <w:rsid w:val="00E860C0"/>
    <w:rsid w:val="00E92321"/>
    <w:rsid w:val="00E95E6D"/>
    <w:rsid w:val="00EA68B7"/>
    <w:rsid w:val="00EB15C4"/>
    <w:rsid w:val="00EB70A2"/>
    <w:rsid w:val="00EC28F4"/>
    <w:rsid w:val="00EC5475"/>
    <w:rsid w:val="00ED5D15"/>
    <w:rsid w:val="00ED6289"/>
    <w:rsid w:val="00ED70D1"/>
    <w:rsid w:val="00EE4CC3"/>
    <w:rsid w:val="00EF2853"/>
    <w:rsid w:val="00EF742E"/>
    <w:rsid w:val="00F02EEA"/>
    <w:rsid w:val="00F1042B"/>
    <w:rsid w:val="00F17E4F"/>
    <w:rsid w:val="00F3091D"/>
    <w:rsid w:val="00F40171"/>
    <w:rsid w:val="00F4229B"/>
    <w:rsid w:val="00F53DF9"/>
    <w:rsid w:val="00F60763"/>
    <w:rsid w:val="00F64CED"/>
    <w:rsid w:val="00F65431"/>
    <w:rsid w:val="00F66FB8"/>
    <w:rsid w:val="00F73C48"/>
    <w:rsid w:val="00F74CCA"/>
    <w:rsid w:val="00F816A2"/>
    <w:rsid w:val="00F82FCC"/>
    <w:rsid w:val="00F84E39"/>
    <w:rsid w:val="00F87D88"/>
    <w:rsid w:val="00F87FD9"/>
    <w:rsid w:val="00F93FD1"/>
    <w:rsid w:val="00F95A1A"/>
    <w:rsid w:val="00FA0E0E"/>
    <w:rsid w:val="00FB0221"/>
    <w:rsid w:val="00FB24D1"/>
    <w:rsid w:val="00FB644B"/>
    <w:rsid w:val="00FB6AEA"/>
    <w:rsid w:val="00FC010B"/>
    <w:rsid w:val="00FD2133"/>
    <w:rsid w:val="00FD21CF"/>
    <w:rsid w:val="00FD6546"/>
    <w:rsid w:val="00FE0A8F"/>
    <w:rsid w:val="00FE4DE5"/>
    <w:rsid w:val="00FF1082"/>
    <w:rsid w:val="00FF57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E8"/>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5A6"/>
    <w:pPr>
      <w:ind w:left="720"/>
      <w:contextualSpacing/>
      <w:jc w:val="both"/>
    </w:pPr>
    <w:rPr>
      <w:rFonts w:ascii="Times New Roman" w:hAnsi="Times New Roman"/>
      <w:sz w:val="24"/>
      <w:lang w:val="lt-LT"/>
    </w:rPr>
  </w:style>
  <w:style w:type="paragraph" w:customStyle="1" w:styleId="xmsolistparagraph">
    <w:name w:val="x_msolistparagraph"/>
    <w:basedOn w:val="Normal"/>
    <w:rsid w:val="00C715A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E433A1"/>
    <w:pPr>
      <w:tabs>
        <w:tab w:val="center" w:pos="4819"/>
        <w:tab w:val="right" w:pos="9638"/>
      </w:tabs>
    </w:pPr>
  </w:style>
  <w:style w:type="character" w:customStyle="1" w:styleId="HeaderChar">
    <w:name w:val="Header Char"/>
    <w:link w:val="Header"/>
    <w:uiPriority w:val="99"/>
    <w:rsid w:val="00E433A1"/>
    <w:rPr>
      <w:sz w:val="22"/>
      <w:szCs w:val="22"/>
      <w:lang w:val="en-US" w:eastAsia="en-US"/>
    </w:rPr>
  </w:style>
  <w:style w:type="paragraph" w:styleId="Footer">
    <w:name w:val="footer"/>
    <w:basedOn w:val="Normal"/>
    <w:link w:val="FooterChar"/>
    <w:uiPriority w:val="99"/>
    <w:unhideWhenUsed/>
    <w:rsid w:val="00E433A1"/>
    <w:pPr>
      <w:tabs>
        <w:tab w:val="center" w:pos="4819"/>
        <w:tab w:val="right" w:pos="9638"/>
      </w:tabs>
    </w:pPr>
  </w:style>
  <w:style w:type="character" w:customStyle="1" w:styleId="FooterChar">
    <w:name w:val="Footer Char"/>
    <w:link w:val="Footer"/>
    <w:uiPriority w:val="99"/>
    <w:rsid w:val="00E433A1"/>
    <w:rPr>
      <w:sz w:val="22"/>
      <w:szCs w:val="22"/>
      <w:lang w:val="en-US" w:eastAsia="en-US"/>
    </w:rPr>
  </w:style>
  <w:style w:type="paragraph" w:styleId="BalloonText">
    <w:name w:val="Balloon Text"/>
    <w:basedOn w:val="Normal"/>
    <w:link w:val="BalloonTextChar"/>
    <w:uiPriority w:val="99"/>
    <w:semiHidden/>
    <w:unhideWhenUsed/>
    <w:rsid w:val="00E433A1"/>
    <w:rPr>
      <w:rFonts w:ascii="Tahoma" w:hAnsi="Tahoma" w:cs="Tahoma"/>
      <w:sz w:val="16"/>
      <w:szCs w:val="16"/>
    </w:rPr>
  </w:style>
  <w:style w:type="character" w:customStyle="1" w:styleId="BalloonTextChar">
    <w:name w:val="Balloon Text Char"/>
    <w:link w:val="BalloonText"/>
    <w:uiPriority w:val="99"/>
    <w:semiHidden/>
    <w:rsid w:val="00E433A1"/>
    <w:rPr>
      <w:rFonts w:ascii="Tahoma" w:hAnsi="Tahoma" w:cs="Tahoma"/>
      <w:sz w:val="16"/>
      <w:szCs w:val="16"/>
      <w:lang w:val="en-US" w:eastAsia="en-US"/>
    </w:rPr>
  </w:style>
  <w:style w:type="table" w:styleId="TableGrid">
    <w:name w:val="Table Grid"/>
    <w:basedOn w:val="TableNormal"/>
    <w:uiPriority w:val="59"/>
    <w:rsid w:val="00D0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DF9"/>
    <w:rPr>
      <w:color w:val="0000FF"/>
      <w:u w:val="single"/>
    </w:rPr>
  </w:style>
  <w:style w:type="paragraph" w:styleId="BodyTextIndent">
    <w:name w:val="Body Text Indent"/>
    <w:basedOn w:val="Normal"/>
    <w:link w:val="BodyTextIndentChar"/>
    <w:uiPriority w:val="99"/>
    <w:rsid w:val="00A43DCD"/>
    <w:pPr>
      <w:ind w:firstLine="720"/>
      <w:jc w:val="both"/>
    </w:pPr>
    <w:rPr>
      <w:rFonts w:ascii="Arial" w:eastAsia="Times New Roman" w:hAnsi="Arial"/>
      <w:sz w:val="20"/>
      <w:szCs w:val="20"/>
      <w:lang w:val="x-none"/>
    </w:rPr>
  </w:style>
  <w:style w:type="character" w:customStyle="1" w:styleId="BodyTextIndentChar">
    <w:name w:val="Body Text Indent Char"/>
    <w:basedOn w:val="DefaultParagraphFont"/>
    <w:link w:val="BodyTextIndent"/>
    <w:uiPriority w:val="99"/>
    <w:rsid w:val="00A43DCD"/>
    <w:rPr>
      <w:rFonts w:ascii="Arial" w:eastAsia="Times New Roman" w:hAnsi="Arial"/>
      <w:lang w:val="x-none" w:eastAsia="en-US"/>
    </w:rPr>
  </w:style>
  <w:style w:type="paragraph" w:customStyle="1" w:styleId="Style8">
    <w:name w:val="Style8"/>
    <w:basedOn w:val="Normal"/>
    <w:rsid w:val="00CE491C"/>
    <w:pPr>
      <w:widowControl w:val="0"/>
      <w:autoSpaceDE w:val="0"/>
      <w:autoSpaceDN w:val="0"/>
      <w:adjustRightInd w:val="0"/>
      <w:spacing w:line="269" w:lineRule="exact"/>
      <w:jc w:val="both"/>
    </w:pPr>
    <w:rPr>
      <w:rFonts w:ascii="Arial" w:eastAsia="Times New Roman" w:hAnsi="Arial" w:cs="Arial"/>
      <w:sz w:val="24"/>
      <w:szCs w:val="24"/>
    </w:rPr>
  </w:style>
  <w:style w:type="paragraph" w:customStyle="1" w:styleId="BodyText1">
    <w:name w:val="Body Text1"/>
    <w:rsid w:val="00633B2F"/>
    <w:pPr>
      <w:ind w:firstLine="312"/>
      <w:jc w:val="both"/>
    </w:pPr>
    <w:rPr>
      <w:rFonts w:ascii="TimesLT" w:eastAsia="Times New Roman" w:hAnsi="TimesLT"/>
      <w:lang w:val="en-US" w:eastAsia="en-US"/>
    </w:rPr>
  </w:style>
  <w:style w:type="character" w:styleId="Strong">
    <w:name w:val="Strong"/>
    <w:basedOn w:val="DefaultParagraphFont"/>
    <w:uiPriority w:val="22"/>
    <w:qFormat/>
    <w:rsid w:val="002B3EE5"/>
    <w:rPr>
      <w:b/>
      <w:bCs/>
    </w:rPr>
  </w:style>
  <w:style w:type="character" w:customStyle="1" w:styleId="hps">
    <w:name w:val="hps"/>
    <w:basedOn w:val="DefaultParagraphFont"/>
    <w:rsid w:val="004E0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E8"/>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5A6"/>
    <w:pPr>
      <w:ind w:left="720"/>
      <w:contextualSpacing/>
      <w:jc w:val="both"/>
    </w:pPr>
    <w:rPr>
      <w:rFonts w:ascii="Times New Roman" w:hAnsi="Times New Roman"/>
      <w:sz w:val="24"/>
      <w:lang w:val="lt-LT"/>
    </w:rPr>
  </w:style>
  <w:style w:type="paragraph" w:customStyle="1" w:styleId="xmsolistparagraph">
    <w:name w:val="x_msolistparagraph"/>
    <w:basedOn w:val="Normal"/>
    <w:rsid w:val="00C715A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E433A1"/>
    <w:pPr>
      <w:tabs>
        <w:tab w:val="center" w:pos="4819"/>
        <w:tab w:val="right" w:pos="9638"/>
      </w:tabs>
    </w:pPr>
  </w:style>
  <w:style w:type="character" w:customStyle="1" w:styleId="HeaderChar">
    <w:name w:val="Header Char"/>
    <w:link w:val="Header"/>
    <w:uiPriority w:val="99"/>
    <w:rsid w:val="00E433A1"/>
    <w:rPr>
      <w:sz w:val="22"/>
      <w:szCs w:val="22"/>
      <w:lang w:val="en-US" w:eastAsia="en-US"/>
    </w:rPr>
  </w:style>
  <w:style w:type="paragraph" w:styleId="Footer">
    <w:name w:val="footer"/>
    <w:basedOn w:val="Normal"/>
    <w:link w:val="FooterChar"/>
    <w:uiPriority w:val="99"/>
    <w:unhideWhenUsed/>
    <w:rsid w:val="00E433A1"/>
    <w:pPr>
      <w:tabs>
        <w:tab w:val="center" w:pos="4819"/>
        <w:tab w:val="right" w:pos="9638"/>
      </w:tabs>
    </w:pPr>
  </w:style>
  <w:style w:type="character" w:customStyle="1" w:styleId="FooterChar">
    <w:name w:val="Footer Char"/>
    <w:link w:val="Footer"/>
    <w:uiPriority w:val="99"/>
    <w:rsid w:val="00E433A1"/>
    <w:rPr>
      <w:sz w:val="22"/>
      <w:szCs w:val="22"/>
      <w:lang w:val="en-US" w:eastAsia="en-US"/>
    </w:rPr>
  </w:style>
  <w:style w:type="paragraph" w:styleId="BalloonText">
    <w:name w:val="Balloon Text"/>
    <w:basedOn w:val="Normal"/>
    <w:link w:val="BalloonTextChar"/>
    <w:uiPriority w:val="99"/>
    <w:semiHidden/>
    <w:unhideWhenUsed/>
    <w:rsid w:val="00E433A1"/>
    <w:rPr>
      <w:rFonts w:ascii="Tahoma" w:hAnsi="Tahoma" w:cs="Tahoma"/>
      <w:sz w:val="16"/>
      <w:szCs w:val="16"/>
    </w:rPr>
  </w:style>
  <w:style w:type="character" w:customStyle="1" w:styleId="BalloonTextChar">
    <w:name w:val="Balloon Text Char"/>
    <w:link w:val="BalloonText"/>
    <w:uiPriority w:val="99"/>
    <w:semiHidden/>
    <w:rsid w:val="00E433A1"/>
    <w:rPr>
      <w:rFonts w:ascii="Tahoma" w:hAnsi="Tahoma" w:cs="Tahoma"/>
      <w:sz w:val="16"/>
      <w:szCs w:val="16"/>
      <w:lang w:val="en-US" w:eastAsia="en-US"/>
    </w:rPr>
  </w:style>
  <w:style w:type="table" w:styleId="TableGrid">
    <w:name w:val="Table Grid"/>
    <w:basedOn w:val="TableNormal"/>
    <w:uiPriority w:val="59"/>
    <w:rsid w:val="00D0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DF9"/>
    <w:rPr>
      <w:color w:val="0000FF"/>
      <w:u w:val="single"/>
    </w:rPr>
  </w:style>
  <w:style w:type="paragraph" w:styleId="BodyTextIndent">
    <w:name w:val="Body Text Indent"/>
    <w:basedOn w:val="Normal"/>
    <w:link w:val="BodyTextIndentChar"/>
    <w:uiPriority w:val="99"/>
    <w:rsid w:val="00A43DCD"/>
    <w:pPr>
      <w:ind w:firstLine="720"/>
      <w:jc w:val="both"/>
    </w:pPr>
    <w:rPr>
      <w:rFonts w:ascii="Arial" w:eastAsia="Times New Roman" w:hAnsi="Arial"/>
      <w:sz w:val="20"/>
      <w:szCs w:val="20"/>
      <w:lang w:val="x-none"/>
    </w:rPr>
  </w:style>
  <w:style w:type="character" w:customStyle="1" w:styleId="BodyTextIndentChar">
    <w:name w:val="Body Text Indent Char"/>
    <w:basedOn w:val="DefaultParagraphFont"/>
    <w:link w:val="BodyTextIndent"/>
    <w:uiPriority w:val="99"/>
    <w:rsid w:val="00A43DCD"/>
    <w:rPr>
      <w:rFonts w:ascii="Arial" w:eastAsia="Times New Roman" w:hAnsi="Arial"/>
      <w:lang w:val="x-none" w:eastAsia="en-US"/>
    </w:rPr>
  </w:style>
  <w:style w:type="paragraph" w:customStyle="1" w:styleId="Style8">
    <w:name w:val="Style8"/>
    <w:basedOn w:val="Normal"/>
    <w:rsid w:val="00CE491C"/>
    <w:pPr>
      <w:widowControl w:val="0"/>
      <w:autoSpaceDE w:val="0"/>
      <w:autoSpaceDN w:val="0"/>
      <w:adjustRightInd w:val="0"/>
      <w:spacing w:line="269" w:lineRule="exact"/>
      <w:jc w:val="both"/>
    </w:pPr>
    <w:rPr>
      <w:rFonts w:ascii="Arial" w:eastAsia="Times New Roman" w:hAnsi="Arial" w:cs="Arial"/>
      <w:sz w:val="24"/>
      <w:szCs w:val="24"/>
    </w:rPr>
  </w:style>
  <w:style w:type="paragraph" w:customStyle="1" w:styleId="BodyText1">
    <w:name w:val="Body Text1"/>
    <w:rsid w:val="00633B2F"/>
    <w:pPr>
      <w:ind w:firstLine="312"/>
      <w:jc w:val="both"/>
    </w:pPr>
    <w:rPr>
      <w:rFonts w:ascii="TimesLT" w:eastAsia="Times New Roman" w:hAnsi="TimesLT"/>
      <w:lang w:val="en-US" w:eastAsia="en-US"/>
    </w:rPr>
  </w:style>
  <w:style w:type="character" w:styleId="Strong">
    <w:name w:val="Strong"/>
    <w:basedOn w:val="DefaultParagraphFont"/>
    <w:uiPriority w:val="22"/>
    <w:qFormat/>
    <w:rsid w:val="002B3EE5"/>
    <w:rPr>
      <w:b/>
      <w:bCs/>
    </w:rPr>
  </w:style>
  <w:style w:type="character" w:customStyle="1" w:styleId="hps">
    <w:name w:val="hps"/>
    <w:basedOn w:val="DefaultParagraphFont"/>
    <w:rsid w:val="004E0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2763">
      <w:bodyDiv w:val="1"/>
      <w:marLeft w:val="0"/>
      <w:marRight w:val="0"/>
      <w:marTop w:val="0"/>
      <w:marBottom w:val="0"/>
      <w:divBdr>
        <w:top w:val="none" w:sz="0" w:space="0" w:color="auto"/>
        <w:left w:val="none" w:sz="0" w:space="0" w:color="auto"/>
        <w:bottom w:val="none" w:sz="0" w:space="0" w:color="auto"/>
        <w:right w:val="none" w:sz="0" w:space="0" w:color="auto"/>
      </w:divBdr>
    </w:div>
    <w:div w:id="224611921">
      <w:bodyDiv w:val="1"/>
      <w:marLeft w:val="0"/>
      <w:marRight w:val="0"/>
      <w:marTop w:val="0"/>
      <w:marBottom w:val="0"/>
      <w:divBdr>
        <w:top w:val="none" w:sz="0" w:space="0" w:color="auto"/>
        <w:left w:val="none" w:sz="0" w:space="0" w:color="auto"/>
        <w:bottom w:val="none" w:sz="0" w:space="0" w:color="auto"/>
        <w:right w:val="none" w:sz="0" w:space="0" w:color="auto"/>
      </w:divBdr>
      <w:divsChild>
        <w:div w:id="940600760">
          <w:marLeft w:val="547"/>
          <w:marRight w:val="0"/>
          <w:marTop w:val="106"/>
          <w:marBottom w:val="0"/>
          <w:divBdr>
            <w:top w:val="none" w:sz="0" w:space="0" w:color="auto"/>
            <w:left w:val="none" w:sz="0" w:space="0" w:color="auto"/>
            <w:bottom w:val="none" w:sz="0" w:space="0" w:color="auto"/>
            <w:right w:val="none" w:sz="0" w:space="0" w:color="auto"/>
          </w:divBdr>
        </w:div>
        <w:div w:id="1635872303">
          <w:marLeft w:val="547"/>
          <w:marRight w:val="0"/>
          <w:marTop w:val="106"/>
          <w:marBottom w:val="0"/>
          <w:divBdr>
            <w:top w:val="none" w:sz="0" w:space="0" w:color="auto"/>
            <w:left w:val="none" w:sz="0" w:space="0" w:color="auto"/>
            <w:bottom w:val="none" w:sz="0" w:space="0" w:color="auto"/>
            <w:right w:val="none" w:sz="0" w:space="0" w:color="auto"/>
          </w:divBdr>
        </w:div>
        <w:div w:id="920063520">
          <w:marLeft w:val="547"/>
          <w:marRight w:val="0"/>
          <w:marTop w:val="106"/>
          <w:marBottom w:val="0"/>
          <w:divBdr>
            <w:top w:val="none" w:sz="0" w:space="0" w:color="auto"/>
            <w:left w:val="none" w:sz="0" w:space="0" w:color="auto"/>
            <w:bottom w:val="none" w:sz="0" w:space="0" w:color="auto"/>
            <w:right w:val="none" w:sz="0" w:space="0" w:color="auto"/>
          </w:divBdr>
        </w:div>
        <w:div w:id="1997146833">
          <w:marLeft w:val="547"/>
          <w:marRight w:val="0"/>
          <w:marTop w:val="106"/>
          <w:marBottom w:val="0"/>
          <w:divBdr>
            <w:top w:val="none" w:sz="0" w:space="0" w:color="auto"/>
            <w:left w:val="none" w:sz="0" w:space="0" w:color="auto"/>
            <w:bottom w:val="none" w:sz="0" w:space="0" w:color="auto"/>
            <w:right w:val="none" w:sz="0" w:space="0" w:color="auto"/>
          </w:divBdr>
        </w:div>
      </w:divsChild>
    </w:div>
    <w:div w:id="254940922">
      <w:bodyDiv w:val="1"/>
      <w:marLeft w:val="0"/>
      <w:marRight w:val="0"/>
      <w:marTop w:val="0"/>
      <w:marBottom w:val="0"/>
      <w:divBdr>
        <w:top w:val="none" w:sz="0" w:space="0" w:color="auto"/>
        <w:left w:val="none" w:sz="0" w:space="0" w:color="auto"/>
        <w:bottom w:val="none" w:sz="0" w:space="0" w:color="auto"/>
        <w:right w:val="none" w:sz="0" w:space="0" w:color="auto"/>
      </w:divBdr>
    </w:div>
    <w:div w:id="521556852">
      <w:bodyDiv w:val="1"/>
      <w:marLeft w:val="0"/>
      <w:marRight w:val="0"/>
      <w:marTop w:val="0"/>
      <w:marBottom w:val="0"/>
      <w:divBdr>
        <w:top w:val="none" w:sz="0" w:space="0" w:color="auto"/>
        <w:left w:val="none" w:sz="0" w:space="0" w:color="auto"/>
        <w:bottom w:val="none" w:sz="0" w:space="0" w:color="auto"/>
        <w:right w:val="none" w:sz="0" w:space="0" w:color="auto"/>
      </w:divBdr>
    </w:div>
    <w:div w:id="521863773">
      <w:bodyDiv w:val="1"/>
      <w:marLeft w:val="0"/>
      <w:marRight w:val="0"/>
      <w:marTop w:val="0"/>
      <w:marBottom w:val="0"/>
      <w:divBdr>
        <w:top w:val="none" w:sz="0" w:space="0" w:color="auto"/>
        <w:left w:val="none" w:sz="0" w:space="0" w:color="auto"/>
        <w:bottom w:val="none" w:sz="0" w:space="0" w:color="auto"/>
        <w:right w:val="none" w:sz="0" w:space="0" w:color="auto"/>
      </w:divBdr>
    </w:div>
    <w:div w:id="549418008">
      <w:bodyDiv w:val="1"/>
      <w:marLeft w:val="0"/>
      <w:marRight w:val="0"/>
      <w:marTop w:val="0"/>
      <w:marBottom w:val="0"/>
      <w:divBdr>
        <w:top w:val="none" w:sz="0" w:space="0" w:color="auto"/>
        <w:left w:val="none" w:sz="0" w:space="0" w:color="auto"/>
        <w:bottom w:val="none" w:sz="0" w:space="0" w:color="auto"/>
        <w:right w:val="none" w:sz="0" w:space="0" w:color="auto"/>
      </w:divBdr>
    </w:div>
    <w:div w:id="665286367">
      <w:bodyDiv w:val="1"/>
      <w:marLeft w:val="0"/>
      <w:marRight w:val="0"/>
      <w:marTop w:val="0"/>
      <w:marBottom w:val="0"/>
      <w:divBdr>
        <w:top w:val="none" w:sz="0" w:space="0" w:color="auto"/>
        <w:left w:val="none" w:sz="0" w:space="0" w:color="auto"/>
        <w:bottom w:val="none" w:sz="0" w:space="0" w:color="auto"/>
        <w:right w:val="none" w:sz="0" w:space="0" w:color="auto"/>
      </w:divBdr>
    </w:div>
    <w:div w:id="782117883">
      <w:bodyDiv w:val="1"/>
      <w:marLeft w:val="0"/>
      <w:marRight w:val="0"/>
      <w:marTop w:val="0"/>
      <w:marBottom w:val="0"/>
      <w:divBdr>
        <w:top w:val="none" w:sz="0" w:space="0" w:color="auto"/>
        <w:left w:val="none" w:sz="0" w:space="0" w:color="auto"/>
        <w:bottom w:val="none" w:sz="0" w:space="0" w:color="auto"/>
        <w:right w:val="none" w:sz="0" w:space="0" w:color="auto"/>
      </w:divBdr>
      <w:divsChild>
        <w:div w:id="41298430">
          <w:marLeft w:val="547"/>
          <w:marRight w:val="0"/>
          <w:marTop w:val="130"/>
          <w:marBottom w:val="0"/>
          <w:divBdr>
            <w:top w:val="none" w:sz="0" w:space="0" w:color="auto"/>
            <w:left w:val="none" w:sz="0" w:space="0" w:color="auto"/>
            <w:bottom w:val="none" w:sz="0" w:space="0" w:color="auto"/>
            <w:right w:val="none" w:sz="0" w:space="0" w:color="auto"/>
          </w:divBdr>
        </w:div>
        <w:div w:id="938561736">
          <w:marLeft w:val="547"/>
          <w:marRight w:val="0"/>
          <w:marTop w:val="130"/>
          <w:marBottom w:val="0"/>
          <w:divBdr>
            <w:top w:val="none" w:sz="0" w:space="0" w:color="auto"/>
            <w:left w:val="none" w:sz="0" w:space="0" w:color="auto"/>
            <w:bottom w:val="none" w:sz="0" w:space="0" w:color="auto"/>
            <w:right w:val="none" w:sz="0" w:space="0" w:color="auto"/>
          </w:divBdr>
        </w:div>
      </w:divsChild>
    </w:div>
    <w:div w:id="1073550039">
      <w:bodyDiv w:val="1"/>
      <w:marLeft w:val="0"/>
      <w:marRight w:val="0"/>
      <w:marTop w:val="0"/>
      <w:marBottom w:val="0"/>
      <w:divBdr>
        <w:top w:val="none" w:sz="0" w:space="0" w:color="auto"/>
        <w:left w:val="none" w:sz="0" w:space="0" w:color="auto"/>
        <w:bottom w:val="none" w:sz="0" w:space="0" w:color="auto"/>
        <w:right w:val="none" w:sz="0" w:space="0" w:color="auto"/>
      </w:divBdr>
    </w:div>
    <w:div w:id="1110929268">
      <w:bodyDiv w:val="1"/>
      <w:marLeft w:val="0"/>
      <w:marRight w:val="0"/>
      <w:marTop w:val="0"/>
      <w:marBottom w:val="0"/>
      <w:divBdr>
        <w:top w:val="none" w:sz="0" w:space="0" w:color="auto"/>
        <w:left w:val="none" w:sz="0" w:space="0" w:color="auto"/>
        <w:bottom w:val="none" w:sz="0" w:space="0" w:color="auto"/>
        <w:right w:val="none" w:sz="0" w:space="0" w:color="auto"/>
      </w:divBdr>
    </w:div>
    <w:div w:id="1474756892">
      <w:bodyDiv w:val="1"/>
      <w:marLeft w:val="0"/>
      <w:marRight w:val="0"/>
      <w:marTop w:val="0"/>
      <w:marBottom w:val="0"/>
      <w:divBdr>
        <w:top w:val="none" w:sz="0" w:space="0" w:color="auto"/>
        <w:left w:val="none" w:sz="0" w:space="0" w:color="auto"/>
        <w:bottom w:val="none" w:sz="0" w:space="0" w:color="auto"/>
        <w:right w:val="none" w:sz="0" w:space="0" w:color="auto"/>
      </w:divBdr>
    </w:div>
    <w:div w:id="1507206836">
      <w:bodyDiv w:val="1"/>
      <w:marLeft w:val="0"/>
      <w:marRight w:val="0"/>
      <w:marTop w:val="0"/>
      <w:marBottom w:val="0"/>
      <w:divBdr>
        <w:top w:val="none" w:sz="0" w:space="0" w:color="auto"/>
        <w:left w:val="none" w:sz="0" w:space="0" w:color="auto"/>
        <w:bottom w:val="none" w:sz="0" w:space="0" w:color="auto"/>
        <w:right w:val="none" w:sz="0" w:space="0" w:color="auto"/>
      </w:divBdr>
    </w:div>
    <w:div w:id="1670795134">
      <w:bodyDiv w:val="1"/>
      <w:marLeft w:val="0"/>
      <w:marRight w:val="0"/>
      <w:marTop w:val="0"/>
      <w:marBottom w:val="0"/>
      <w:divBdr>
        <w:top w:val="none" w:sz="0" w:space="0" w:color="auto"/>
        <w:left w:val="none" w:sz="0" w:space="0" w:color="auto"/>
        <w:bottom w:val="none" w:sz="0" w:space="0" w:color="auto"/>
        <w:right w:val="none" w:sz="0" w:space="0" w:color="auto"/>
      </w:divBdr>
    </w:div>
    <w:div w:id="1761412080">
      <w:bodyDiv w:val="1"/>
      <w:marLeft w:val="0"/>
      <w:marRight w:val="0"/>
      <w:marTop w:val="0"/>
      <w:marBottom w:val="0"/>
      <w:divBdr>
        <w:top w:val="none" w:sz="0" w:space="0" w:color="auto"/>
        <w:left w:val="none" w:sz="0" w:space="0" w:color="auto"/>
        <w:bottom w:val="none" w:sz="0" w:space="0" w:color="auto"/>
        <w:right w:val="none" w:sz="0" w:space="0" w:color="auto"/>
      </w:divBdr>
    </w:div>
    <w:div w:id="1794057606">
      <w:bodyDiv w:val="1"/>
      <w:marLeft w:val="0"/>
      <w:marRight w:val="0"/>
      <w:marTop w:val="0"/>
      <w:marBottom w:val="0"/>
      <w:divBdr>
        <w:top w:val="none" w:sz="0" w:space="0" w:color="auto"/>
        <w:left w:val="none" w:sz="0" w:space="0" w:color="auto"/>
        <w:bottom w:val="none" w:sz="0" w:space="0" w:color="auto"/>
        <w:right w:val="none" w:sz="0" w:space="0" w:color="auto"/>
      </w:divBdr>
    </w:div>
    <w:div w:id="1817525156">
      <w:bodyDiv w:val="1"/>
      <w:marLeft w:val="0"/>
      <w:marRight w:val="0"/>
      <w:marTop w:val="0"/>
      <w:marBottom w:val="0"/>
      <w:divBdr>
        <w:top w:val="none" w:sz="0" w:space="0" w:color="auto"/>
        <w:left w:val="none" w:sz="0" w:space="0" w:color="auto"/>
        <w:bottom w:val="none" w:sz="0" w:space="0" w:color="auto"/>
        <w:right w:val="none" w:sz="0" w:space="0" w:color="auto"/>
      </w:divBdr>
    </w:div>
    <w:div w:id="1932468714">
      <w:bodyDiv w:val="1"/>
      <w:marLeft w:val="0"/>
      <w:marRight w:val="0"/>
      <w:marTop w:val="0"/>
      <w:marBottom w:val="0"/>
      <w:divBdr>
        <w:top w:val="none" w:sz="0" w:space="0" w:color="auto"/>
        <w:left w:val="none" w:sz="0" w:space="0" w:color="auto"/>
        <w:bottom w:val="none" w:sz="0" w:space="0" w:color="auto"/>
        <w:right w:val="none" w:sz="0" w:space="0" w:color="auto"/>
      </w:divBdr>
    </w:div>
    <w:div w:id="2126196227">
      <w:bodyDiv w:val="1"/>
      <w:marLeft w:val="0"/>
      <w:marRight w:val="0"/>
      <w:marTop w:val="0"/>
      <w:marBottom w:val="0"/>
      <w:divBdr>
        <w:top w:val="none" w:sz="0" w:space="0" w:color="auto"/>
        <w:left w:val="none" w:sz="0" w:space="0" w:color="auto"/>
        <w:bottom w:val="none" w:sz="0" w:space="0" w:color="auto"/>
        <w:right w:val="none" w:sz="0" w:space="0" w:color="auto"/>
      </w:divBdr>
    </w:div>
    <w:div w:id="21412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tar.lt/portal/lt/legalAct/1082e300762c11e5b7eba10a9b5a9c5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63E2-EAE2-4C44-B596-BDB1F447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10454</Words>
  <Characters>5960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Romaldas</dc:creator>
  <cp:lastModifiedBy>User</cp:lastModifiedBy>
  <cp:revision>5</cp:revision>
  <cp:lastPrinted>2015-12-22T10:17:00Z</cp:lastPrinted>
  <dcterms:created xsi:type="dcterms:W3CDTF">2016-03-29T15:14:00Z</dcterms:created>
  <dcterms:modified xsi:type="dcterms:W3CDTF">2016-03-30T14:35:00Z</dcterms:modified>
</cp:coreProperties>
</file>