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3C" w:rsidRPr="00866D40" w:rsidRDefault="00FC0A4E">
      <w:pPr>
        <w:rPr>
          <w:b/>
        </w:rPr>
      </w:pPr>
      <w:r>
        <w:rPr>
          <w:b/>
        </w:rPr>
        <w:t>Informacija</w:t>
      </w:r>
      <w:r w:rsidR="00866D40" w:rsidRPr="00866D40">
        <w:rPr>
          <w:b/>
        </w:rPr>
        <w:t xml:space="preserve"> dėl daugiabučių namų vidaus šildymo sistemų modernizavimo</w:t>
      </w:r>
    </w:p>
    <w:p w:rsidR="00866D40" w:rsidRPr="00866D40" w:rsidRDefault="00866D40">
      <w:pPr>
        <w:rPr>
          <w:b/>
        </w:rPr>
      </w:pPr>
    </w:p>
    <w:p w:rsidR="00866D40" w:rsidRDefault="00866D40" w:rsidP="00683A48">
      <w:pPr>
        <w:jc w:val="both"/>
      </w:pPr>
      <w:r>
        <w:t>Skaičiuojama</w:t>
      </w:r>
      <w:r w:rsidRPr="005D0BAF">
        <w:t xml:space="preserve">, kad </w:t>
      </w:r>
      <w:r w:rsidR="00B37C9E">
        <w:t>daugiabučiuose namuose</w:t>
      </w:r>
      <w:r w:rsidRPr="005D0BAF">
        <w:t xml:space="preserve"> įrengiant automatizuotus šilumos punktus</w:t>
      </w:r>
      <w:r w:rsidR="00B37C9E">
        <w:t xml:space="preserve"> (vietoje dar likusių </w:t>
      </w:r>
      <w:r w:rsidR="00B37C9E" w:rsidRPr="004F4CD3">
        <w:t>3942</w:t>
      </w:r>
      <w:r w:rsidRPr="004F4CD3">
        <w:t xml:space="preserve"> vnt</w:t>
      </w:r>
      <w:r>
        <w:t xml:space="preserve">. </w:t>
      </w:r>
      <w:proofErr w:type="spellStart"/>
      <w:r>
        <w:t>elevatorinių</w:t>
      </w:r>
      <w:proofErr w:type="spellEnd"/>
      <w:r>
        <w:t>)</w:t>
      </w:r>
      <w:r w:rsidRPr="005D0BAF">
        <w:t xml:space="preserve"> bei modernizuojant </w:t>
      </w:r>
      <w:r w:rsidR="00D63CCC">
        <w:t xml:space="preserve">ir subalansuojant </w:t>
      </w:r>
      <w:r w:rsidRPr="005D0BAF">
        <w:t xml:space="preserve">vidaus šildymo ir karšto vandens tiekimo sistemas galima sutaupyti </w:t>
      </w:r>
      <w:r>
        <w:t>apie 25 proc. šilumos daugiabučiuose namuose ir atitinkamai sumažinti gyventojų mokėjimus už šildymą</w:t>
      </w:r>
      <w:r w:rsidRPr="005D0BAF">
        <w:t>.</w:t>
      </w:r>
    </w:p>
    <w:p w:rsidR="00866D40" w:rsidRDefault="00866D40"/>
    <w:p w:rsidR="00866D40" w:rsidRDefault="004C4FFC">
      <w:r w:rsidRPr="004C4FFC">
        <w:drawing>
          <wp:inline distT="0" distB="0" distL="0" distR="0">
            <wp:extent cx="5891834" cy="1778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2" r="6114" b="-3"/>
                    <a:stretch/>
                  </pic:blipFill>
                  <pic:spPr bwMode="auto">
                    <a:xfrm>
                      <a:off x="0" y="0"/>
                      <a:ext cx="5893150" cy="17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D40" w:rsidRDefault="00866D40"/>
    <w:p w:rsidR="00683A48" w:rsidRDefault="00683A48" w:rsidP="00683A48">
      <w:pPr>
        <w:jc w:val="both"/>
      </w:pPr>
      <w:r>
        <w:t>Šildymo ir karšto vandens sistemų modernizavimas apima:</w:t>
      </w:r>
    </w:p>
    <w:p w:rsidR="00C83533" w:rsidRPr="00683A48" w:rsidRDefault="00C37760" w:rsidP="00683A48">
      <w:pPr>
        <w:numPr>
          <w:ilvl w:val="0"/>
          <w:numId w:val="1"/>
        </w:numPr>
        <w:jc w:val="both"/>
      </w:pPr>
      <w:r w:rsidRPr="00683A48">
        <w:rPr>
          <w:b/>
          <w:bCs/>
          <w:u w:val="single"/>
        </w:rPr>
        <w:t>Vidaus šildymo</w:t>
      </w:r>
      <w:r w:rsidRPr="00683A48">
        <w:t xml:space="preserve"> sistemos </w:t>
      </w:r>
      <w:r w:rsidR="00D63CCC" w:rsidRPr="00683A48">
        <w:rPr>
          <w:b/>
          <w:bCs/>
          <w:u w:val="single"/>
        </w:rPr>
        <w:t>subalansavim</w:t>
      </w:r>
      <w:r w:rsidR="00D63CCC">
        <w:rPr>
          <w:b/>
          <w:bCs/>
          <w:u w:val="single"/>
        </w:rPr>
        <w:t>ą</w:t>
      </w:r>
      <w:r w:rsidRPr="00683A48">
        <w:t>;</w:t>
      </w:r>
    </w:p>
    <w:p w:rsidR="00C83533" w:rsidRPr="00683A48" w:rsidRDefault="00C37760" w:rsidP="00683A48">
      <w:pPr>
        <w:numPr>
          <w:ilvl w:val="0"/>
          <w:numId w:val="1"/>
        </w:numPr>
        <w:jc w:val="both"/>
      </w:pPr>
      <w:r w:rsidRPr="00683A48">
        <w:rPr>
          <w:b/>
          <w:bCs/>
          <w:u w:val="single"/>
        </w:rPr>
        <w:t xml:space="preserve">Karšto vandens </w:t>
      </w:r>
      <w:r w:rsidRPr="00683A48">
        <w:t xml:space="preserve">sistemos </w:t>
      </w:r>
      <w:r w:rsidR="00D63CCC" w:rsidRPr="00683A48">
        <w:rPr>
          <w:b/>
          <w:bCs/>
          <w:u w:val="single"/>
        </w:rPr>
        <w:t>subalansavim</w:t>
      </w:r>
      <w:r w:rsidR="00D63CCC">
        <w:rPr>
          <w:b/>
          <w:bCs/>
          <w:u w:val="single"/>
        </w:rPr>
        <w:t>ą</w:t>
      </w:r>
      <w:r w:rsidRPr="00683A48">
        <w:t>;</w:t>
      </w:r>
    </w:p>
    <w:p w:rsidR="00C83533" w:rsidRPr="00683A48" w:rsidRDefault="00C37760" w:rsidP="00683A48">
      <w:pPr>
        <w:numPr>
          <w:ilvl w:val="0"/>
          <w:numId w:val="1"/>
        </w:numPr>
        <w:jc w:val="both"/>
      </w:pPr>
      <w:r w:rsidRPr="00683A48">
        <w:rPr>
          <w:b/>
          <w:bCs/>
          <w:u w:val="single"/>
        </w:rPr>
        <w:t>Termostatinių</w:t>
      </w:r>
      <w:r w:rsidRPr="00683A48">
        <w:t xml:space="preserve"> ventilių ant šildymo prietaisų </w:t>
      </w:r>
      <w:r w:rsidR="00D63CCC" w:rsidRPr="00683A48">
        <w:t>įrengim</w:t>
      </w:r>
      <w:r w:rsidR="00D63CCC">
        <w:t>ą;</w:t>
      </w:r>
    </w:p>
    <w:p w:rsidR="00C83533" w:rsidRPr="00683A48" w:rsidRDefault="00C37760" w:rsidP="00683A48">
      <w:pPr>
        <w:numPr>
          <w:ilvl w:val="0"/>
          <w:numId w:val="1"/>
        </w:numPr>
        <w:jc w:val="both"/>
      </w:pPr>
      <w:r w:rsidRPr="00683A48">
        <w:rPr>
          <w:b/>
          <w:bCs/>
          <w:u w:val="single"/>
        </w:rPr>
        <w:t xml:space="preserve">Individualios šilumos apskaitos </w:t>
      </w:r>
      <w:r w:rsidRPr="00683A48">
        <w:t xml:space="preserve">kiekvienam butui </w:t>
      </w:r>
      <w:r w:rsidR="00D63CCC" w:rsidRPr="00683A48">
        <w:t>įrengim</w:t>
      </w:r>
      <w:r w:rsidR="00D63CCC">
        <w:t>ą</w:t>
      </w:r>
      <w:r w:rsidR="00D63CCC" w:rsidRPr="00683A48">
        <w:t xml:space="preserve"> </w:t>
      </w:r>
      <w:r w:rsidRPr="00683A48">
        <w:rPr>
          <w:b/>
          <w:bCs/>
          <w:u w:val="single"/>
        </w:rPr>
        <w:t>(šilumos kiekio dalikliai)</w:t>
      </w:r>
      <w:r w:rsidRPr="00683A48">
        <w:t>;</w:t>
      </w:r>
    </w:p>
    <w:p w:rsidR="00C83533" w:rsidRPr="00683A48" w:rsidRDefault="00C37760" w:rsidP="00683A48">
      <w:pPr>
        <w:numPr>
          <w:ilvl w:val="0"/>
          <w:numId w:val="1"/>
        </w:numPr>
        <w:jc w:val="both"/>
      </w:pPr>
      <w:r w:rsidRPr="00683A48">
        <w:rPr>
          <w:b/>
          <w:bCs/>
          <w:u w:val="single"/>
        </w:rPr>
        <w:t>Išmanioji (</w:t>
      </w:r>
      <w:proofErr w:type="spellStart"/>
      <w:r w:rsidRPr="00683A48">
        <w:rPr>
          <w:b/>
          <w:bCs/>
          <w:u w:val="single"/>
        </w:rPr>
        <w:t>Smart</w:t>
      </w:r>
      <w:proofErr w:type="spellEnd"/>
      <w:r w:rsidRPr="00683A48">
        <w:rPr>
          <w:b/>
          <w:bCs/>
          <w:u w:val="single"/>
        </w:rPr>
        <w:t xml:space="preserve"> </w:t>
      </w:r>
      <w:proofErr w:type="spellStart"/>
      <w:r w:rsidRPr="00683A48">
        <w:rPr>
          <w:b/>
          <w:bCs/>
          <w:u w:val="single"/>
        </w:rPr>
        <w:t>metering</w:t>
      </w:r>
      <w:proofErr w:type="spellEnd"/>
      <w:r w:rsidRPr="00683A48">
        <w:rPr>
          <w:b/>
          <w:bCs/>
          <w:u w:val="single"/>
        </w:rPr>
        <w:t xml:space="preserve">) </w:t>
      </w:r>
      <w:r w:rsidR="00D63CCC" w:rsidRPr="00683A48">
        <w:rPr>
          <w:b/>
          <w:bCs/>
          <w:u w:val="single"/>
        </w:rPr>
        <w:t>apskaita</w:t>
      </w:r>
      <w:r w:rsidR="00D63CCC">
        <w:rPr>
          <w:b/>
          <w:bCs/>
          <w:u w:val="single"/>
        </w:rPr>
        <w:t>, įgalinanti</w:t>
      </w:r>
      <w:r w:rsidR="00D63CCC" w:rsidRPr="00683A48">
        <w:t xml:space="preserve"> </w:t>
      </w:r>
      <w:r w:rsidR="00D63CCC">
        <w:t xml:space="preserve">vienalaikį </w:t>
      </w:r>
      <w:r w:rsidR="00EA3ACF">
        <w:t xml:space="preserve">rodmenų </w:t>
      </w:r>
      <w:r w:rsidR="00D63CCC">
        <w:t>nuskaitymą</w:t>
      </w:r>
      <w:r w:rsidR="00D63CCC" w:rsidRPr="00683A48">
        <w:t xml:space="preserve"> </w:t>
      </w:r>
      <w:r w:rsidRPr="00683A48">
        <w:t>iš daliklių ir karšto vandens skaitiklių butuose (pagal 2012/27/ES Efektyvumo direktyvos reikalavimus).</w:t>
      </w:r>
    </w:p>
    <w:p w:rsidR="00683A48" w:rsidRDefault="00683A48"/>
    <w:p w:rsidR="00EA3ACF" w:rsidRPr="00EA3ACF" w:rsidRDefault="00EA3ACF">
      <w:pPr>
        <w:rPr>
          <w:b/>
        </w:rPr>
      </w:pPr>
      <w:r w:rsidRPr="00EA3ACF">
        <w:rPr>
          <w:b/>
        </w:rPr>
        <w:t>Modernizuotos vidaus šildymo ir kv. sistemos užtikrintų:</w:t>
      </w:r>
    </w:p>
    <w:p w:rsidR="00C83533" w:rsidRPr="00EA3ACF" w:rsidRDefault="00EA3ACF" w:rsidP="00EA3ACF">
      <w:pPr>
        <w:numPr>
          <w:ilvl w:val="0"/>
          <w:numId w:val="2"/>
        </w:numPr>
      </w:pPr>
      <w:r>
        <w:t xml:space="preserve">Apie </w:t>
      </w:r>
      <w:r w:rsidR="00C37760" w:rsidRPr="00EA3ACF">
        <w:t xml:space="preserve">25 proc. </w:t>
      </w:r>
      <w:r w:rsidR="00D63CCC">
        <w:t xml:space="preserve">šilumos suvartojimo šildymui ir karšto vandens ruošimui ekonomiją ir atitinkamai </w:t>
      </w:r>
      <w:r w:rsidR="00C37760" w:rsidRPr="00EA3ACF">
        <w:t xml:space="preserve">mažesnes sąskaitas už </w:t>
      </w:r>
      <w:r w:rsidR="00D63CCC" w:rsidRPr="00EA3ACF">
        <w:t>šil</w:t>
      </w:r>
      <w:r w:rsidR="00D63CCC">
        <w:t>umos energiją</w:t>
      </w:r>
      <w:r w:rsidR="00C37760" w:rsidRPr="00EA3ACF">
        <w:t>;</w:t>
      </w:r>
    </w:p>
    <w:p w:rsidR="00C83533" w:rsidRPr="00EA3ACF" w:rsidRDefault="00C37760" w:rsidP="00EA3ACF">
      <w:pPr>
        <w:numPr>
          <w:ilvl w:val="0"/>
          <w:numId w:val="2"/>
        </w:numPr>
      </w:pPr>
      <w:r w:rsidRPr="00EA3ACF">
        <w:t xml:space="preserve">Tolygų </w:t>
      </w:r>
      <w:r w:rsidR="00D63CCC">
        <w:t xml:space="preserve">visų butų pastate </w:t>
      </w:r>
      <w:r w:rsidRPr="00EA3ACF">
        <w:t>šildymą (neperšildomi ir nešaldomi butai);</w:t>
      </w:r>
    </w:p>
    <w:p w:rsidR="00C83533" w:rsidRPr="00EA3ACF" w:rsidRDefault="00C37760" w:rsidP="00EA3ACF">
      <w:pPr>
        <w:numPr>
          <w:ilvl w:val="0"/>
          <w:numId w:val="2"/>
        </w:numPr>
      </w:pPr>
      <w:r w:rsidRPr="00EA3ACF">
        <w:t>Galimybę reguliuotis šilumą butuose pagal poreikį;</w:t>
      </w:r>
    </w:p>
    <w:p w:rsidR="00C83533" w:rsidRPr="00EA3ACF" w:rsidRDefault="00C37760" w:rsidP="00EA3ACF">
      <w:pPr>
        <w:numPr>
          <w:ilvl w:val="0"/>
          <w:numId w:val="2"/>
        </w:numPr>
      </w:pPr>
      <w:r w:rsidRPr="00EA3ACF">
        <w:t xml:space="preserve">Individualią </w:t>
      </w:r>
      <w:proofErr w:type="spellStart"/>
      <w:r w:rsidRPr="00EA3ACF">
        <w:t>daliklinę</w:t>
      </w:r>
      <w:proofErr w:type="spellEnd"/>
      <w:r w:rsidRPr="00EA3ACF">
        <w:t xml:space="preserve"> apskaitą;</w:t>
      </w:r>
    </w:p>
    <w:p w:rsidR="00C83533" w:rsidRPr="00EA3ACF" w:rsidRDefault="00C37760" w:rsidP="00EA3ACF">
      <w:pPr>
        <w:numPr>
          <w:ilvl w:val="0"/>
          <w:numId w:val="2"/>
        </w:numPr>
      </w:pPr>
      <w:r w:rsidRPr="00EA3ACF">
        <w:t xml:space="preserve">Teisingą atsiskaityti už šilumą ir </w:t>
      </w:r>
      <w:proofErr w:type="spellStart"/>
      <w:r w:rsidRPr="00EA3ACF">
        <w:t>kv</w:t>
      </w:r>
      <w:proofErr w:type="spellEnd"/>
      <w:r w:rsidRPr="00EA3ACF">
        <w:t>, nemokant už kitus nesąžiningus gyventojus;</w:t>
      </w:r>
    </w:p>
    <w:p w:rsidR="00C83533" w:rsidRDefault="00C37760" w:rsidP="00EA3ACF">
      <w:pPr>
        <w:numPr>
          <w:ilvl w:val="0"/>
          <w:numId w:val="2"/>
        </w:numPr>
      </w:pPr>
      <w:r w:rsidRPr="00EA3ACF">
        <w:t xml:space="preserve">Efektyvumo direktyvos </w:t>
      </w:r>
      <w:r w:rsidR="008E167C">
        <w:t xml:space="preserve">7, 9, 10 str. </w:t>
      </w:r>
      <w:r w:rsidRPr="00EA3ACF">
        <w:t>įgyvendinimą</w:t>
      </w:r>
      <w:r w:rsidR="00D63CCC">
        <w:t xml:space="preserve"> (energijos taupymas, sąžiningos sąskaitos, vartotojų informavimas, paskatos taupyti energiją ir t.t.)</w:t>
      </w:r>
      <w:r w:rsidRPr="00EA3ACF">
        <w:t>.</w:t>
      </w:r>
    </w:p>
    <w:p w:rsidR="00C43E9D" w:rsidRDefault="00C43E9D" w:rsidP="00C43E9D"/>
    <w:p w:rsidR="00C43E9D" w:rsidRDefault="00C43E9D" w:rsidP="00C43E9D">
      <w:pPr>
        <w:jc w:val="both"/>
      </w:pPr>
      <w:r>
        <w:t xml:space="preserve">Įgyvendinus minėtas priemones </w:t>
      </w:r>
      <w:r w:rsidRPr="005D0BAF">
        <w:t>per metus kiekvienam m</w:t>
      </w:r>
      <w:r w:rsidRPr="005D0BAF">
        <w:rPr>
          <w:vertAlign w:val="superscript"/>
        </w:rPr>
        <w:t>2</w:t>
      </w:r>
      <w:r w:rsidRPr="005D0BAF">
        <w:t xml:space="preserve"> pastato ploto </w:t>
      </w:r>
      <w:r>
        <w:t>būtų</w:t>
      </w:r>
      <w:r w:rsidRPr="005D0BAF">
        <w:t xml:space="preserve"> sutaupoma vidutiniškai </w:t>
      </w:r>
      <w:r>
        <w:t>apie 30</w:t>
      </w:r>
      <w:r w:rsidRPr="005D0BAF">
        <w:t xml:space="preserve"> kWh </w:t>
      </w:r>
      <w:r w:rsidR="00B37C9E">
        <w:t>šilumos</w:t>
      </w:r>
      <w:r w:rsidRPr="005D0BAF">
        <w:t>.</w:t>
      </w:r>
      <w:r w:rsidR="004C5305">
        <w:t xml:space="preserve"> Standartinis 60 m</w:t>
      </w:r>
      <w:r w:rsidR="004C5305">
        <w:rPr>
          <w:vertAlign w:val="superscript"/>
        </w:rPr>
        <w:t>2</w:t>
      </w:r>
      <w:r w:rsidR="004C5305">
        <w:t xml:space="preserve"> butas vidutiniškai suvartoja ap</w:t>
      </w:r>
      <w:r w:rsidR="008E167C">
        <w:t>ie 1140 kWh/mėn. šilumos už 65,4</w:t>
      </w:r>
      <w:r w:rsidR="004C5305">
        <w:t xml:space="preserve"> Eur</w:t>
      </w:r>
      <w:r w:rsidR="009618F3">
        <w:t>/mėn</w:t>
      </w:r>
      <w:r w:rsidR="008E167C">
        <w:t>. (skaičiuojant 2016-</w:t>
      </w:r>
      <w:r w:rsidR="004C5305">
        <w:t xml:space="preserve">2017 m. </w:t>
      </w:r>
      <w:r w:rsidR="008E167C">
        <w:t>šildymo sezono</w:t>
      </w:r>
      <w:r w:rsidR="004C5305">
        <w:t xml:space="preserve"> šilumos </w:t>
      </w:r>
      <w:r w:rsidR="008E167C">
        <w:t>vidutine kaina 5,74</w:t>
      </w:r>
      <w:r w:rsidR="004C5305">
        <w:t xml:space="preserve"> ct/kWh su PVM.).</w:t>
      </w:r>
      <w:r w:rsidR="009618F3">
        <w:t xml:space="preserve"> Po modernizacijos standartinis 60 m</w:t>
      </w:r>
      <w:r w:rsidR="009618F3">
        <w:rPr>
          <w:vertAlign w:val="superscript"/>
        </w:rPr>
        <w:t>2</w:t>
      </w:r>
      <w:r w:rsidR="009618F3">
        <w:t xml:space="preserve"> butas skaičiuojama suvartos apie 840 kWh</w:t>
      </w:r>
      <w:r w:rsidR="008E167C">
        <w:t>/mėn. šilumos už vidutiniškai 48,2</w:t>
      </w:r>
      <w:r w:rsidR="009618F3">
        <w:t xml:space="preserve"> Eur</w:t>
      </w:r>
      <w:r w:rsidR="00C37760">
        <w:t>/mėn</w:t>
      </w:r>
      <w:r w:rsidR="009618F3">
        <w:t>.</w:t>
      </w:r>
      <w:r w:rsidR="008E167C">
        <w:t xml:space="preserve"> Vidutiniškai apie 17 Eur.</w:t>
      </w:r>
      <w:r w:rsidR="007C3C20">
        <w:t>/mėn.</w:t>
      </w:r>
      <w:r w:rsidR="008E167C">
        <w:t xml:space="preserve"> gyventojams mokėjimai už šilumą būtų mažesni.</w:t>
      </w:r>
    </w:p>
    <w:p w:rsidR="00EB6C43" w:rsidRDefault="00EB6C43" w:rsidP="00EB6C43">
      <w:pPr>
        <w:jc w:val="both"/>
      </w:pPr>
    </w:p>
    <w:p w:rsidR="00EB6C43" w:rsidRDefault="00EB6C43" w:rsidP="00EB6C43">
      <w:pPr>
        <w:jc w:val="both"/>
      </w:pPr>
      <w:r w:rsidRPr="005D0BAF">
        <w:t>Šalyje centralizuotai šildoma apie 30 mln. m</w:t>
      </w:r>
      <w:r w:rsidRPr="005D0BAF">
        <w:rPr>
          <w:vertAlign w:val="superscript"/>
        </w:rPr>
        <w:t>2</w:t>
      </w:r>
      <w:r w:rsidR="00B37C9E">
        <w:t xml:space="preserve"> sovietinės statybos nerenovuotų daugiabučių</w:t>
      </w:r>
      <w:r w:rsidRPr="005D0BAF">
        <w:t xml:space="preserve">, todėl bendras metinis sutaupymų potencialas sudarytų apie </w:t>
      </w:r>
      <w:r>
        <w:t>900</w:t>
      </w:r>
      <w:r w:rsidRPr="005D0BAF">
        <w:t xml:space="preserve"> </w:t>
      </w:r>
      <w:proofErr w:type="spellStart"/>
      <w:r w:rsidRPr="005D0BAF">
        <w:t>GWh</w:t>
      </w:r>
      <w:proofErr w:type="spellEnd"/>
      <w:r w:rsidRPr="005D0BAF">
        <w:t xml:space="preserve"> </w:t>
      </w:r>
      <w:r>
        <w:t xml:space="preserve">ir </w:t>
      </w:r>
      <w:r w:rsidR="00D63CCC">
        <w:t xml:space="preserve">reikšminga dalimi </w:t>
      </w:r>
      <w:r>
        <w:t>prisidėtų prie Energijos vartojimo efektyvumo direktyvos nuostatų įgyvendinimo pas galutinius vartotojus.</w:t>
      </w:r>
    </w:p>
    <w:p w:rsidR="00EB6C43" w:rsidRDefault="00EB6C43" w:rsidP="00EB6C43">
      <w:pPr>
        <w:jc w:val="both"/>
      </w:pPr>
    </w:p>
    <w:p w:rsidR="00EB6C43" w:rsidRDefault="00EB6C43" w:rsidP="00EB6C43">
      <w:pPr>
        <w:jc w:val="both"/>
      </w:pPr>
      <w:r w:rsidRPr="005D0BAF">
        <w:t xml:space="preserve">Skaičiuojant, kad vieno automatizuoto šilumos punkto įrengimas kainuoja apie </w:t>
      </w:r>
      <w:r w:rsidR="00B37C9E">
        <w:t xml:space="preserve">8500 </w:t>
      </w:r>
      <w:proofErr w:type="spellStart"/>
      <w:r w:rsidR="00B37C9E">
        <w:t>eur</w:t>
      </w:r>
      <w:proofErr w:type="spellEnd"/>
      <w:r w:rsidR="00B37C9E">
        <w:t xml:space="preserve">. (šalies daugiabučiuose yra </w:t>
      </w:r>
      <w:r w:rsidR="00B37C9E" w:rsidRPr="00B37C9E">
        <w:t>3942</w:t>
      </w:r>
      <w:r w:rsidRPr="005D0BAF">
        <w:t xml:space="preserve"> neautomatizuotų punktų), o subalansuoti vidaus šildymo ir karšto vandens sistemas bei įrengti individualią apskaitą ir re</w:t>
      </w:r>
      <w:r>
        <w:t>guliavimą kainuoja apie 15 Eur</w:t>
      </w:r>
      <w:r w:rsidRPr="005D0BAF">
        <w:t>/ m</w:t>
      </w:r>
      <w:r w:rsidRPr="005D0BAF">
        <w:rPr>
          <w:vertAlign w:val="superscript"/>
        </w:rPr>
        <w:t>2</w:t>
      </w:r>
      <w:r w:rsidRPr="005D0BAF">
        <w:t xml:space="preserve"> (viso 30 mln. m</w:t>
      </w:r>
      <w:r w:rsidRPr="005D0BAF">
        <w:rPr>
          <w:vertAlign w:val="superscript"/>
        </w:rPr>
        <w:t>2</w:t>
      </w:r>
      <w:r w:rsidRPr="005D0BAF">
        <w:t>), investicijų poreikis sudarytų apie</w:t>
      </w:r>
      <w:r>
        <w:t xml:space="preserve"> </w:t>
      </w:r>
      <w:r w:rsidR="001E71A5">
        <w:t>450 mln. Eur.</w:t>
      </w:r>
      <w:r w:rsidR="00F31BBB">
        <w:t xml:space="preserve"> Sutaupymai galėtų siekti apie 48 mln. Eur per metus.</w:t>
      </w:r>
    </w:p>
    <w:p w:rsidR="00F31BBB" w:rsidRDefault="00F31BBB" w:rsidP="00EB6C43">
      <w:pPr>
        <w:jc w:val="both"/>
      </w:pPr>
    </w:p>
    <w:p w:rsidR="00F31BBB" w:rsidRPr="00F31BBB" w:rsidRDefault="00F31BBB" w:rsidP="00EB6C43">
      <w:pPr>
        <w:jc w:val="both"/>
        <w:rPr>
          <w:b/>
        </w:rPr>
      </w:pPr>
      <w:r w:rsidRPr="00F31BBB">
        <w:rPr>
          <w:b/>
        </w:rPr>
        <w:t>Paramos poreikis</w:t>
      </w:r>
    </w:p>
    <w:p w:rsidR="00EB6C43" w:rsidRDefault="00F31BBB" w:rsidP="00C43E9D">
      <w:pPr>
        <w:jc w:val="both"/>
      </w:pPr>
      <w:r>
        <w:t>Jei paramos intensyvumas būtų 50 proc., tai visos paramos poreikis būtų apie 225 mln. Eur. Gyventojų investicijų atsipirkimo laikas – mažiau nei 5 metai.</w:t>
      </w:r>
    </w:p>
    <w:p w:rsidR="004C5305" w:rsidRDefault="00F31BBB" w:rsidP="00C43E9D">
      <w:pPr>
        <w:jc w:val="both"/>
      </w:pPr>
      <w:r>
        <w:lastRenderedPageBreak/>
        <w:t xml:space="preserve">Iki 2020 m. pabaigos realu įgyvendinti šį projektą pusėje daugiabučių </w:t>
      </w:r>
      <w:r w:rsidR="00C37760">
        <w:t>namų, tuomet paramos poreikis 112,5 mln. Eur., gyventojams reikėtų prisidėti vidutiniškai apie 7,5 Eur. /m</w:t>
      </w:r>
      <w:r w:rsidR="00C37760">
        <w:rPr>
          <w:vertAlign w:val="superscript"/>
        </w:rPr>
        <w:t>2</w:t>
      </w:r>
      <w:r w:rsidR="00C37760">
        <w:t xml:space="preserve">, </w:t>
      </w:r>
      <w:proofErr w:type="spellStart"/>
      <w:r w:rsidR="00C37760">
        <w:t>t.y</w:t>
      </w:r>
      <w:proofErr w:type="spellEnd"/>
      <w:r w:rsidR="00C37760">
        <w:t xml:space="preserve"> butui vidutiniškai apie 450 Eur. </w:t>
      </w:r>
    </w:p>
    <w:p w:rsidR="00C71C4B" w:rsidRDefault="00C71C4B" w:rsidP="00C43E9D">
      <w:pPr>
        <w:jc w:val="both"/>
      </w:pPr>
    </w:p>
    <w:p w:rsidR="00C71C4B" w:rsidRPr="004C5305" w:rsidRDefault="00C71C4B" w:rsidP="00C43E9D">
      <w:pPr>
        <w:jc w:val="both"/>
      </w:pPr>
      <w:r>
        <w:t>Daugiabučių namų vidaus šildymo ir karšto vandens sistemų modernizavimo projektas galėtų būti įgyvendinamas gana greitai</w:t>
      </w:r>
      <w:r w:rsidR="009D2AFD">
        <w:t xml:space="preserve">, nes </w:t>
      </w:r>
      <w:r w:rsidR="004F4CD3">
        <w:t xml:space="preserve">pagrindiniai </w:t>
      </w:r>
      <w:r w:rsidR="009D2AFD">
        <w:t>darbai vyktų namų rūsiuose ir koridoriuose, o gyventojų butuose</w:t>
      </w:r>
      <w:r w:rsidR="004F4CD3">
        <w:t xml:space="preserve"> darbininkai</w:t>
      </w:r>
      <w:r w:rsidR="009D2AFD">
        <w:t xml:space="preserve"> užtruktų iki 4 val. laiko. Po darbų pabaigos gyventojai iškart pajustų na</w:t>
      </w:r>
      <w:r w:rsidR="004F4CD3">
        <w:t>udą: galėtų reguliuotis šildymą</w:t>
      </w:r>
      <w:r w:rsidR="009D2AFD">
        <w:t xml:space="preserve"> atskiruose kambariuose pagal savo poreikius, nebeliktų peršildomų arba šąlančių butų, nebeliktų galimybės piktnaudžiauti nedeklaruojant karšto vandens</w:t>
      </w:r>
      <w:r w:rsidR="008362E2">
        <w:t>, o svarbiausia – šis projektas neturėtų įtakos Aplinkos ministerijos organizuojamai daugiabučių namų renovacijai, kuomet pastatas apšiltinamas ir pasiekiama A, B, ar C energijos efektyvumo klasė.</w:t>
      </w:r>
      <w:r w:rsidR="00A208C0">
        <w:t xml:space="preserve"> Tikėtina, kad po sistemų modernizavimo daliai daugiabučių sumažėjus šilumos suvartojimui pilna namo renovacija taptų netikslinga.</w:t>
      </w:r>
    </w:p>
    <w:p w:rsidR="00683A48" w:rsidRDefault="00683A48"/>
    <w:sectPr w:rsidR="00683A48" w:rsidSect="00C37760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D78"/>
    <w:multiLevelType w:val="hybridMultilevel"/>
    <w:tmpl w:val="AE7C3910"/>
    <w:lvl w:ilvl="0" w:tplc="7482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A4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C2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4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A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4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4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C5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CF7AAB"/>
    <w:multiLevelType w:val="hybridMultilevel"/>
    <w:tmpl w:val="81AAF746"/>
    <w:lvl w:ilvl="0" w:tplc="DC52D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683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ED0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699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E4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2CC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260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8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6C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0"/>
    <w:rsid w:val="0009793C"/>
    <w:rsid w:val="001E71A5"/>
    <w:rsid w:val="00270A7E"/>
    <w:rsid w:val="004C4FFC"/>
    <w:rsid w:val="004C5305"/>
    <w:rsid w:val="004F4CD3"/>
    <w:rsid w:val="00540C32"/>
    <w:rsid w:val="00563A59"/>
    <w:rsid w:val="00683A48"/>
    <w:rsid w:val="006E4D29"/>
    <w:rsid w:val="00785BC4"/>
    <w:rsid w:val="007C3C20"/>
    <w:rsid w:val="00815E0A"/>
    <w:rsid w:val="008362E2"/>
    <w:rsid w:val="00866D40"/>
    <w:rsid w:val="008E167C"/>
    <w:rsid w:val="009618F3"/>
    <w:rsid w:val="009D2AFD"/>
    <w:rsid w:val="00A208C0"/>
    <w:rsid w:val="00B37C9E"/>
    <w:rsid w:val="00B549C5"/>
    <w:rsid w:val="00C37760"/>
    <w:rsid w:val="00C43E9D"/>
    <w:rsid w:val="00C71C4B"/>
    <w:rsid w:val="00C83533"/>
    <w:rsid w:val="00D63CCC"/>
    <w:rsid w:val="00EA3ACF"/>
    <w:rsid w:val="00EB6C43"/>
    <w:rsid w:val="00F31BBB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CD06F-41F0-4782-A9F2-072235C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C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C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1267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763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647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89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98">
          <w:marLeft w:val="44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Mantas</cp:lastModifiedBy>
  <cp:revision>10</cp:revision>
  <dcterms:created xsi:type="dcterms:W3CDTF">2017-03-07T07:42:00Z</dcterms:created>
  <dcterms:modified xsi:type="dcterms:W3CDTF">2017-08-22T09:53:00Z</dcterms:modified>
</cp:coreProperties>
</file>