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93C" w:rsidRPr="00443699" w:rsidRDefault="00443699" w:rsidP="00443699">
      <w:pPr>
        <w:jc w:val="center"/>
        <w:rPr>
          <w:b/>
          <w:sz w:val="28"/>
        </w:rPr>
      </w:pPr>
      <w:r w:rsidRPr="00443699">
        <w:rPr>
          <w:b/>
          <w:sz w:val="28"/>
        </w:rPr>
        <w:t>ENERGIJOS VARTOJIMO EFEKTYVUM</w:t>
      </w:r>
      <w:bookmarkStart w:id="0" w:name="_GoBack"/>
      <w:bookmarkEnd w:id="0"/>
      <w:r w:rsidRPr="00443699">
        <w:rPr>
          <w:b/>
          <w:sz w:val="28"/>
        </w:rPr>
        <w:t>O DIDINIMO ĮSTATYMO ĮGYVENDINIMAS</w:t>
      </w:r>
    </w:p>
    <w:p w:rsidR="00443699" w:rsidRDefault="00443699"/>
    <w:p w:rsidR="00443699" w:rsidRPr="00443699" w:rsidRDefault="00443699">
      <w:pPr>
        <w:rPr>
          <w:color w:val="C00000"/>
          <w:sz w:val="28"/>
        </w:rPr>
      </w:pPr>
      <w:r w:rsidRPr="00443699">
        <w:rPr>
          <w:color w:val="C00000"/>
          <w:szCs w:val="22"/>
        </w:rPr>
        <w:t>2016 m. lapkričio 3 d. Nr. XII-2702 Energijos vartoj</w:t>
      </w:r>
      <w:r>
        <w:rPr>
          <w:color w:val="C00000"/>
          <w:szCs w:val="22"/>
        </w:rPr>
        <w:t xml:space="preserve">imo efektyvumo didinimo įstatymas </w:t>
      </w:r>
      <w:r w:rsidRPr="00443699">
        <w:rPr>
          <w:szCs w:val="22"/>
        </w:rPr>
        <w:t>(</w:t>
      </w:r>
      <w:r>
        <w:t>Įsigalioja 2016-11-15 (Įstatymo 23 straipsnio 4 dalis įsigalioja 2016-11-10.)</w:t>
      </w:r>
    </w:p>
    <w:tbl>
      <w:tblPr>
        <w:tblStyle w:val="TableGrid"/>
        <w:tblW w:w="0" w:type="auto"/>
        <w:tblLook w:val="04A0" w:firstRow="1" w:lastRow="0" w:firstColumn="1" w:lastColumn="0" w:noHBand="0" w:noVBand="1"/>
      </w:tblPr>
      <w:tblGrid>
        <w:gridCol w:w="672"/>
        <w:gridCol w:w="6619"/>
        <w:gridCol w:w="2620"/>
      </w:tblGrid>
      <w:tr w:rsidR="009C62F1" w:rsidTr="00654E5A">
        <w:tc>
          <w:tcPr>
            <w:tcW w:w="672" w:type="dxa"/>
          </w:tcPr>
          <w:p w:rsidR="00443699" w:rsidRPr="00443699" w:rsidRDefault="00443699" w:rsidP="00C6363C">
            <w:pPr>
              <w:rPr>
                <w:b/>
              </w:rPr>
            </w:pPr>
            <w:r w:rsidRPr="00443699">
              <w:rPr>
                <w:b/>
              </w:rPr>
              <w:t>Str.</w:t>
            </w:r>
          </w:p>
        </w:tc>
        <w:tc>
          <w:tcPr>
            <w:tcW w:w="6619" w:type="dxa"/>
          </w:tcPr>
          <w:p w:rsidR="00443699" w:rsidRPr="00443699" w:rsidRDefault="00443699" w:rsidP="00C6363C">
            <w:pPr>
              <w:rPr>
                <w:b/>
              </w:rPr>
            </w:pPr>
            <w:r w:rsidRPr="00443699">
              <w:rPr>
                <w:b/>
              </w:rPr>
              <w:t>Įstatymo nuostata</w:t>
            </w:r>
          </w:p>
        </w:tc>
        <w:tc>
          <w:tcPr>
            <w:tcW w:w="2620" w:type="dxa"/>
          </w:tcPr>
          <w:p w:rsidR="00443699" w:rsidRPr="00443699" w:rsidRDefault="00443699" w:rsidP="00C6363C">
            <w:pPr>
              <w:rPr>
                <w:b/>
              </w:rPr>
            </w:pPr>
            <w:r w:rsidRPr="00443699">
              <w:rPr>
                <w:b/>
              </w:rPr>
              <w:t>Įgyvendinimo terminas</w:t>
            </w:r>
          </w:p>
        </w:tc>
      </w:tr>
      <w:tr w:rsidR="009C62F1" w:rsidTr="00654E5A">
        <w:tc>
          <w:tcPr>
            <w:tcW w:w="672" w:type="dxa"/>
          </w:tcPr>
          <w:p w:rsidR="00443699" w:rsidRPr="00443699" w:rsidRDefault="009C62F1" w:rsidP="00C6363C">
            <w:pPr>
              <w:rPr>
                <w:sz w:val="20"/>
              </w:rPr>
            </w:pPr>
            <w:r>
              <w:rPr>
                <w:bCs/>
                <w:iCs/>
                <w:color w:val="2F2B20"/>
                <w:sz w:val="20"/>
              </w:rPr>
              <w:t>7 str.</w:t>
            </w:r>
          </w:p>
        </w:tc>
        <w:tc>
          <w:tcPr>
            <w:tcW w:w="6619" w:type="dxa"/>
          </w:tcPr>
          <w:p w:rsidR="00443699" w:rsidRPr="00443699" w:rsidRDefault="00443699" w:rsidP="00443699">
            <w:pPr>
              <w:pStyle w:val="NormalWeb"/>
              <w:spacing w:before="0" w:beforeAutospacing="0" w:after="0" w:afterAutospacing="0"/>
              <w:rPr>
                <w:i/>
                <w:iCs/>
                <w:color w:val="2F2B20"/>
                <w:sz w:val="16"/>
                <w:szCs w:val="20"/>
              </w:rPr>
            </w:pPr>
            <w:r w:rsidRPr="00443699">
              <w:rPr>
                <w:b/>
                <w:bCs/>
                <w:i/>
                <w:iCs/>
                <w:color w:val="2F2B20"/>
                <w:sz w:val="20"/>
              </w:rPr>
              <w:t>Susitarimai dėl energijos sutaupymo</w:t>
            </w:r>
          </w:p>
          <w:p w:rsidR="00443699" w:rsidRPr="00443699" w:rsidRDefault="00443699" w:rsidP="00443699">
            <w:pPr>
              <w:pStyle w:val="NormalWeb"/>
              <w:spacing w:before="0" w:beforeAutospacing="0" w:after="0" w:afterAutospacing="0"/>
              <w:rPr>
                <w:i/>
                <w:iCs/>
                <w:sz w:val="20"/>
                <w:szCs w:val="20"/>
              </w:rPr>
            </w:pPr>
            <w:r w:rsidRPr="00443699">
              <w:rPr>
                <w:i/>
                <w:iCs/>
                <w:color w:val="2F2B20"/>
                <w:sz w:val="20"/>
                <w:szCs w:val="20"/>
              </w:rPr>
              <w:t>1. </w:t>
            </w:r>
            <w:r w:rsidRPr="00443699">
              <w:rPr>
                <w:i/>
                <w:iCs/>
                <w:color w:val="C00000"/>
                <w:sz w:val="20"/>
                <w:szCs w:val="20"/>
              </w:rPr>
              <w:t>Elektros ir dujų</w:t>
            </w:r>
            <w:r w:rsidRPr="00443699">
              <w:rPr>
                <w:b/>
                <w:bCs/>
                <w:i/>
                <w:iCs/>
                <w:color w:val="2F2B20"/>
                <w:sz w:val="20"/>
                <w:szCs w:val="20"/>
              </w:rPr>
              <w:t xml:space="preserve"> </w:t>
            </w:r>
            <w:r w:rsidRPr="00443699">
              <w:rPr>
                <w:i/>
                <w:iCs/>
                <w:color w:val="2F2B20"/>
                <w:sz w:val="20"/>
                <w:szCs w:val="20"/>
              </w:rPr>
              <w:t xml:space="preserve">perdavimo sistemos ir skirstomųjų tinklų operatoriai, kuriuose valstybei tiesiogiai ar per jos kontroliuojamas įmones priklauso ne mažiau kaip 1/2 balsų bendrovės visuotiniame akcininkų susirinkime suteikiančių akcijų (toliau – valstybės valdomi operatoriai), </w:t>
            </w:r>
            <w:r w:rsidRPr="00443699">
              <w:rPr>
                <w:i/>
                <w:iCs/>
                <w:color w:val="C00000"/>
                <w:sz w:val="20"/>
                <w:szCs w:val="20"/>
                <w:highlight w:val="yellow"/>
              </w:rPr>
              <w:t>per 6 mėnesius</w:t>
            </w:r>
            <w:r w:rsidRPr="00443699">
              <w:rPr>
                <w:i/>
                <w:iCs/>
                <w:color w:val="C00000"/>
                <w:sz w:val="20"/>
                <w:szCs w:val="20"/>
              </w:rPr>
              <w:t xml:space="preserve"> </w:t>
            </w:r>
            <w:r w:rsidRPr="00443699">
              <w:rPr>
                <w:i/>
                <w:iCs/>
                <w:color w:val="2F2B20"/>
                <w:sz w:val="20"/>
                <w:szCs w:val="20"/>
              </w:rPr>
              <w:t xml:space="preserve">nuo šio įstatymo įsigaliojimo sudaro su Energetikos ministerija viešai skelbiamus </w:t>
            </w:r>
            <w:r w:rsidRPr="00443699">
              <w:rPr>
                <w:i/>
                <w:iCs/>
                <w:color w:val="C00000"/>
                <w:sz w:val="20"/>
                <w:szCs w:val="20"/>
              </w:rPr>
              <w:t xml:space="preserve">susitarimus </w:t>
            </w:r>
            <w:r w:rsidRPr="00443699">
              <w:rPr>
                <w:i/>
                <w:iCs/>
                <w:color w:val="2F2B20"/>
                <w:sz w:val="20"/>
                <w:szCs w:val="20"/>
              </w:rPr>
              <w:t xml:space="preserve">dėl energijos sutaupymo. </w:t>
            </w:r>
          </w:p>
          <w:p w:rsidR="00443699" w:rsidRPr="00443699" w:rsidRDefault="00443699" w:rsidP="00443699">
            <w:pPr>
              <w:pStyle w:val="NormalWeb"/>
              <w:spacing w:before="0" w:beforeAutospacing="0" w:after="0" w:afterAutospacing="0"/>
              <w:rPr>
                <w:rFonts w:ascii="Calibri" w:hAnsi="Calibri" w:cs="Calibri"/>
              </w:rPr>
            </w:pPr>
            <w:r w:rsidRPr="00443699">
              <w:rPr>
                <w:i/>
                <w:iCs/>
                <w:color w:val="2F2B20"/>
                <w:sz w:val="20"/>
                <w:szCs w:val="20"/>
              </w:rPr>
              <w:t xml:space="preserve">2. </w:t>
            </w:r>
            <w:r w:rsidRPr="00443699">
              <w:rPr>
                <w:i/>
                <w:iCs/>
                <w:color w:val="C00000"/>
                <w:sz w:val="20"/>
                <w:szCs w:val="20"/>
              </w:rPr>
              <w:t>Kitos</w:t>
            </w:r>
            <w:r w:rsidRPr="00443699">
              <w:rPr>
                <w:i/>
                <w:iCs/>
                <w:color w:val="2F2B20"/>
                <w:sz w:val="20"/>
                <w:szCs w:val="20"/>
              </w:rPr>
              <w:t xml:space="preserve">, šio straipsnio 1 dalyje nenurodytos, </w:t>
            </w:r>
            <w:r w:rsidRPr="00443699">
              <w:rPr>
                <w:i/>
                <w:iCs/>
                <w:color w:val="C00000"/>
                <w:sz w:val="20"/>
                <w:szCs w:val="20"/>
              </w:rPr>
              <w:t xml:space="preserve">energetikos įmonės taip pat gali sudaryti </w:t>
            </w:r>
            <w:r w:rsidRPr="00443699">
              <w:rPr>
                <w:i/>
                <w:iCs/>
                <w:color w:val="2F2B20"/>
                <w:sz w:val="20"/>
                <w:szCs w:val="20"/>
              </w:rPr>
              <w:t xml:space="preserve">su Energetikos ministerija </w:t>
            </w:r>
            <w:r w:rsidRPr="00443699">
              <w:rPr>
                <w:i/>
                <w:iCs/>
                <w:color w:val="C00000"/>
                <w:sz w:val="20"/>
                <w:szCs w:val="20"/>
              </w:rPr>
              <w:t xml:space="preserve">susitarimus </w:t>
            </w:r>
            <w:r w:rsidRPr="00443699">
              <w:rPr>
                <w:i/>
                <w:iCs/>
                <w:color w:val="2F2B20"/>
                <w:sz w:val="20"/>
                <w:szCs w:val="20"/>
              </w:rPr>
              <w:t>dėl energijos sutaupymo.</w:t>
            </w:r>
          </w:p>
        </w:tc>
        <w:tc>
          <w:tcPr>
            <w:tcW w:w="2620" w:type="dxa"/>
          </w:tcPr>
          <w:p w:rsidR="00443699" w:rsidRPr="00443699" w:rsidRDefault="00B12DFA" w:rsidP="00C6363C">
            <w:pPr>
              <w:rPr>
                <w:sz w:val="20"/>
              </w:rPr>
            </w:pPr>
            <w:r>
              <w:rPr>
                <w:sz w:val="20"/>
              </w:rPr>
              <w:t xml:space="preserve">2016-11-15 + 6 mėn. t.y. </w:t>
            </w:r>
            <w:r w:rsidRPr="00B12DFA">
              <w:rPr>
                <w:b/>
                <w:color w:val="FF0000"/>
                <w:sz w:val="22"/>
              </w:rPr>
              <w:t>2017-05-15</w:t>
            </w:r>
          </w:p>
        </w:tc>
      </w:tr>
      <w:tr w:rsidR="009C62F1" w:rsidTr="00654E5A">
        <w:tc>
          <w:tcPr>
            <w:tcW w:w="672" w:type="dxa"/>
          </w:tcPr>
          <w:p w:rsidR="00443699" w:rsidRPr="00443699" w:rsidRDefault="009C62F1" w:rsidP="00C6363C">
            <w:pPr>
              <w:rPr>
                <w:sz w:val="20"/>
              </w:rPr>
            </w:pPr>
            <w:r>
              <w:rPr>
                <w:sz w:val="20"/>
              </w:rPr>
              <w:t>8 str.</w:t>
            </w:r>
          </w:p>
        </w:tc>
        <w:tc>
          <w:tcPr>
            <w:tcW w:w="6619" w:type="dxa"/>
          </w:tcPr>
          <w:p w:rsidR="009C62F1" w:rsidRPr="009C62F1" w:rsidRDefault="009C62F1" w:rsidP="009C62F1">
            <w:pPr>
              <w:rPr>
                <w:i/>
                <w:iCs/>
                <w:sz w:val="20"/>
                <w:szCs w:val="24"/>
                <w:lang w:eastAsia="lt-LT"/>
              </w:rPr>
            </w:pPr>
            <w:r w:rsidRPr="009C62F1">
              <w:rPr>
                <w:b/>
                <w:bCs/>
                <w:i/>
                <w:iCs/>
                <w:color w:val="2F2B20"/>
                <w:sz w:val="20"/>
                <w:szCs w:val="24"/>
                <w:lang w:eastAsia="lt-LT"/>
              </w:rPr>
              <w:t>Susitarimai dėl vartotojų švietimo ir konsultavimo</w:t>
            </w:r>
          </w:p>
          <w:p w:rsidR="00443699" w:rsidRPr="00443699" w:rsidRDefault="009C62F1" w:rsidP="009C62F1">
            <w:pPr>
              <w:rPr>
                <w:sz w:val="20"/>
              </w:rPr>
            </w:pPr>
            <w:r w:rsidRPr="009C62F1">
              <w:rPr>
                <w:i/>
                <w:iCs/>
                <w:color w:val="2F2B20"/>
                <w:sz w:val="20"/>
                <w:szCs w:val="24"/>
                <w:lang w:eastAsia="lt-LT"/>
              </w:rPr>
              <w:t xml:space="preserve">1. </w:t>
            </w:r>
            <w:r w:rsidRPr="009C62F1">
              <w:rPr>
                <w:i/>
                <w:iCs/>
                <w:color w:val="C00000"/>
                <w:sz w:val="20"/>
                <w:szCs w:val="24"/>
                <w:lang w:eastAsia="lt-LT"/>
              </w:rPr>
              <w:t xml:space="preserve">Energijos tiekėjai </w:t>
            </w:r>
            <w:r w:rsidRPr="009C62F1">
              <w:rPr>
                <w:i/>
                <w:iCs/>
                <w:color w:val="2F2B20"/>
                <w:sz w:val="20"/>
                <w:szCs w:val="24"/>
                <w:lang w:eastAsia="lt-LT"/>
              </w:rPr>
              <w:t xml:space="preserve">per </w:t>
            </w:r>
            <w:r w:rsidRPr="009C62F1">
              <w:rPr>
                <w:i/>
                <w:iCs/>
                <w:color w:val="C00000"/>
                <w:sz w:val="20"/>
                <w:szCs w:val="24"/>
                <w:highlight w:val="yellow"/>
                <w:lang w:eastAsia="lt-LT"/>
              </w:rPr>
              <w:t>6 mėnesius</w:t>
            </w:r>
            <w:r w:rsidRPr="009C62F1">
              <w:rPr>
                <w:i/>
                <w:iCs/>
                <w:color w:val="C00000"/>
                <w:sz w:val="20"/>
                <w:szCs w:val="24"/>
                <w:lang w:eastAsia="lt-LT"/>
              </w:rPr>
              <w:t xml:space="preserve"> </w:t>
            </w:r>
            <w:r w:rsidRPr="009C62F1">
              <w:rPr>
                <w:i/>
                <w:iCs/>
                <w:color w:val="2F2B20"/>
                <w:sz w:val="20"/>
                <w:szCs w:val="24"/>
                <w:lang w:eastAsia="lt-LT"/>
              </w:rPr>
              <w:t xml:space="preserve">nuo šio įstatymo įsigaliojimo </w:t>
            </w:r>
            <w:r w:rsidRPr="009C62F1">
              <w:rPr>
                <w:i/>
                <w:iCs/>
                <w:color w:val="C00000"/>
                <w:sz w:val="20"/>
                <w:szCs w:val="24"/>
                <w:lang w:eastAsia="lt-LT"/>
              </w:rPr>
              <w:t>sudaro</w:t>
            </w:r>
            <w:r w:rsidRPr="009C62F1">
              <w:rPr>
                <w:i/>
                <w:iCs/>
                <w:color w:val="2F2B20"/>
                <w:sz w:val="20"/>
                <w:szCs w:val="24"/>
                <w:lang w:eastAsia="lt-LT"/>
              </w:rPr>
              <w:t xml:space="preserve"> su Energetikos ministerija viešai skelbiamus </w:t>
            </w:r>
            <w:r w:rsidRPr="009C62F1">
              <w:rPr>
                <w:i/>
                <w:iCs/>
                <w:color w:val="C00000"/>
                <w:sz w:val="20"/>
                <w:szCs w:val="24"/>
                <w:lang w:eastAsia="lt-LT"/>
              </w:rPr>
              <w:t>susitarimus dėl vartotojų švietimo ir konsultavimo</w:t>
            </w:r>
          </w:p>
        </w:tc>
        <w:tc>
          <w:tcPr>
            <w:tcW w:w="2620" w:type="dxa"/>
          </w:tcPr>
          <w:p w:rsidR="00443699" w:rsidRPr="00443699" w:rsidRDefault="009C62F1" w:rsidP="00C6363C">
            <w:pPr>
              <w:rPr>
                <w:sz w:val="20"/>
              </w:rPr>
            </w:pPr>
            <w:r>
              <w:rPr>
                <w:sz w:val="20"/>
              </w:rPr>
              <w:t xml:space="preserve">2016-11-15 + 6 mėn. t.y. </w:t>
            </w:r>
            <w:r w:rsidRPr="00B12DFA">
              <w:rPr>
                <w:b/>
                <w:color w:val="FF0000"/>
                <w:sz w:val="22"/>
              </w:rPr>
              <w:t>2017-05-15</w:t>
            </w:r>
          </w:p>
        </w:tc>
      </w:tr>
      <w:tr w:rsidR="009C62F1" w:rsidTr="00654E5A">
        <w:tc>
          <w:tcPr>
            <w:tcW w:w="672" w:type="dxa"/>
          </w:tcPr>
          <w:p w:rsidR="00443699" w:rsidRPr="00443699" w:rsidRDefault="009C62F1" w:rsidP="00C6363C">
            <w:pPr>
              <w:rPr>
                <w:sz w:val="20"/>
              </w:rPr>
            </w:pPr>
            <w:r>
              <w:rPr>
                <w:sz w:val="20"/>
              </w:rPr>
              <w:t>11 str.</w:t>
            </w:r>
          </w:p>
        </w:tc>
        <w:tc>
          <w:tcPr>
            <w:tcW w:w="6619" w:type="dxa"/>
          </w:tcPr>
          <w:p w:rsidR="009C62F1" w:rsidRPr="009C62F1" w:rsidRDefault="009C62F1" w:rsidP="009C62F1">
            <w:pPr>
              <w:pStyle w:val="NormalWeb"/>
              <w:spacing w:before="0" w:beforeAutospacing="0" w:after="0" w:afterAutospacing="0"/>
              <w:rPr>
                <w:i/>
                <w:iCs/>
                <w:sz w:val="20"/>
              </w:rPr>
            </w:pPr>
            <w:r w:rsidRPr="009C62F1">
              <w:rPr>
                <w:b/>
                <w:bCs/>
                <w:i/>
                <w:iCs/>
                <w:color w:val="2F2B20"/>
                <w:sz w:val="20"/>
              </w:rPr>
              <w:t>Energijos vartojimo auditas</w:t>
            </w:r>
          </w:p>
          <w:p w:rsidR="00443699" w:rsidRPr="009C62F1" w:rsidRDefault="009C62F1" w:rsidP="009C62F1">
            <w:pPr>
              <w:rPr>
                <w:sz w:val="20"/>
              </w:rPr>
            </w:pPr>
            <w:r w:rsidRPr="009C62F1">
              <w:rPr>
                <w:i/>
                <w:iCs/>
                <w:color w:val="2F2B20"/>
                <w:sz w:val="20"/>
              </w:rPr>
              <w:t xml:space="preserve">2. </w:t>
            </w:r>
            <w:r w:rsidRPr="009C62F1">
              <w:rPr>
                <w:i/>
                <w:iCs/>
                <w:color w:val="C00000"/>
                <w:sz w:val="20"/>
              </w:rPr>
              <w:t>Įmonės</w:t>
            </w:r>
            <w:r w:rsidRPr="009C62F1">
              <w:rPr>
                <w:i/>
                <w:iCs/>
                <w:color w:val="2F2B20"/>
                <w:sz w:val="20"/>
              </w:rPr>
              <w:t xml:space="preserve">, kurios nėra smulkiojo ir vidutinio verslo subjektai, Energetikos ministerijai pirmą kartą </w:t>
            </w:r>
            <w:r w:rsidRPr="009C62F1">
              <w:rPr>
                <w:i/>
                <w:iCs/>
                <w:color w:val="C00000"/>
                <w:sz w:val="20"/>
              </w:rPr>
              <w:t xml:space="preserve">privalo pateikti energijos vartojimo audito ataskaitą ne vėliau kaip </w:t>
            </w:r>
            <w:r w:rsidRPr="009C62F1">
              <w:rPr>
                <w:i/>
                <w:iCs/>
                <w:color w:val="C00000"/>
                <w:sz w:val="20"/>
                <w:highlight w:val="yellow"/>
              </w:rPr>
              <w:t>2017 m. liepos 1 d</w:t>
            </w:r>
            <w:r w:rsidRPr="009C62F1">
              <w:rPr>
                <w:i/>
                <w:iCs/>
                <w:color w:val="C00000"/>
                <w:sz w:val="20"/>
              </w:rPr>
              <w:t>.</w:t>
            </w:r>
            <w:r w:rsidRPr="009C62F1">
              <w:rPr>
                <w:i/>
                <w:iCs/>
                <w:color w:val="2F2B20"/>
                <w:sz w:val="20"/>
              </w:rPr>
              <w:t>, o vėliau – ne rečiau kaip kas 4 metai po anksčiau atlikto energijos vartojimo audito. Energijos vartojimo audito ataskaita gali būti pateikiama kaip atlikto platesnės apimties aplinkosauginio audito, jeigu jis atliekamas pirmiau, dalis.</w:t>
            </w:r>
          </w:p>
        </w:tc>
        <w:tc>
          <w:tcPr>
            <w:tcW w:w="2620" w:type="dxa"/>
          </w:tcPr>
          <w:p w:rsidR="00443699" w:rsidRPr="009C62F1" w:rsidRDefault="009C62F1" w:rsidP="00C6363C">
            <w:pPr>
              <w:rPr>
                <w:b/>
                <w:sz w:val="22"/>
              </w:rPr>
            </w:pPr>
            <w:r w:rsidRPr="009C62F1">
              <w:rPr>
                <w:b/>
                <w:color w:val="FF0000"/>
                <w:sz w:val="22"/>
              </w:rPr>
              <w:t>2017-07-01</w:t>
            </w:r>
          </w:p>
        </w:tc>
      </w:tr>
      <w:tr w:rsidR="009C62F1" w:rsidTr="00654E5A">
        <w:tc>
          <w:tcPr>
            <w:tcW w:w="672" w:type="dxa"/>
          </w:tcPr>
          <w:p w:rsidR="00443699" w:rsidRPr="00443699" w:rsidRDefault="006D6097" w:rsidP="00C6363C">
            <w:pPr>
              <w:rPr>
                <w:sz w:val="20"/>
              </w:rPr>
            </w:pPr>
            <w:r>
              <w:rPr>
                <w:sz w:val="20"/>
              </w:rPr>
              <w:t>12 str.</w:t>
            </w:r>
          </w:p>
        </w:tc>
        <w:tc>
          <w:tcPr>
            <w:tcW w:w="6619" w:type="dxa"/>
          </w:tcPr>
          <w:p w:rsidR="006D6097" w:rsidRPr="006D6097" w:rsidRDefault="006D6097" w:rsidP="006D6097">
            <w:pPr>
              <w:pStyle w:val="NormalWeb"/>
              <w:spacing w:before="0" w:beforeAutospacing="0" w:after="0" w:afterAutospacing="0"/>
              <w:rPr>
                <w:i/>
                <w:iCs/>
                <w:sz w:val="20"/>
                <w:szCs w:val="20"/>
              </w:rPr>
            </w:pPr>
            <w:r w:rsidRPr="006D6097">
              <w:rPr>
                <w:b/>
                <w:bCs/>
                <w:i/>
                <w:iCs/>
                <w:color w:val="2F2B20"/>
                <w:sz w:val="20"/>
                <w:szCs w:val="20"/>
              </w:rPr>
              <w:t>Kaštų ir naudos analizė</w:t>
            </w:r>
          </w:p>
          <w:p w:rsidR="006D6097" w:rsidRPr="006D6097" w:rsidRDefault="006D6097" w:rsidP="006D6097">
            <w:pPr>
              <w:pStyle w:val="NormalWeb"/>
              <w:spacing w:before="0" w:beforeAutospacing="0" w:after="0" w:afterAutospacing="0"/>
              <w:rPr>
                <w:i/>
                <w:iCs/>
                <w:sz w:val="20"/>
                <w:szCs w:val="20"/>
              </w:rPr>
            </w:pPr>
            <w:r w:rsidRPr="006D6097">
              <w:rPr>
                <w:i/>
                <w:iCs/>
                <w:color w:val="2F2B20"/>
                <w:sz w:val="20"/>
                <w:szCs w:val="20"/>
              </w:rPr>
              <w:t xml:space="preserve">1. </w:t>
            </w:r>
            <w:r w:rsidRPr="006D6097">
              <w:rPr>
                <w:i/>
                <w:iCs/>
                <w:color w:val="C00000"/>
                <w:sz w:val="20"/>
                <w:szCs w:val="20"/>
              </w:rPr>
              <w:t>Asmuo</w:t>
            </w:r>
            <w:r w:rsidRPr="006D6097">
              <w:rPr>
                <w:i/>
                <w:iCs/>
                <w:color w:val="2F2B20"/>
                <w:sz w:val="20"/>
                <w:szCs w:val="20"/>
              </w:rPr>
              <w:t xml:space="preserve">, kuriam nuosavybės teise priklauso </w:t>
            </w:r>
            <w:r w:rsidRPr="006D6097">
              <w:rPr>
                <w:i/>
                <w:iCs/>
                <w:color w:val="C00000"/>
                <w:sz w:val="20"/>
                <w:szCs w:val="20"/>
              </w:rPr>
              <w:t xml:space="preserve">šilumos ir (arba) elektros </w:t>
            </w:r>
            <w:r w:rsidRPr="006D6097">
              <w:rPr>
                <w:i/>
                <w:iCs/>
                <w:color w:val="2F2B20"/>
                <w:sz w:val="20"/>
                <w:szCs w:val="20"/>
              </w:rPr>
              <w:t xml:space="preserve">energijos gamybos (išskyrus didelio naudingumo kogeneracijos), pramoninės gamybos technologiniuose procesuose naudojami </w:t>
            </w:r>
            <w:r w:rsidRPr="006D6097">
              <w:rPr>
                <w:i/>
                <w:iCs/>
                <w:color w:val="C00000"/>
                <w:sz w:val="20"/>
                <w:szCs w:val="20"/>
              </w:rPr>
              <w:t>įrenginiai</w:t>
            </w:r>
            <w:r w:rsidRPr="006D6097">
              <w:rPr>
                <w:i/>
                <w:iCs/>
                <w:color w:val="2F2B20"/>
                <w:sz w:val="20"/>
                <w:szCs w:val="20"/>
              </w:rPr>
              <w:t xml:space="preserve">, arba šių įrenginių statytojas </w:t>
            </w:r>
            <w:r w:rsidRPr="006D6097">
              <w:rPr>
                <w:i/>
                <w:iCs/>
                <w:color w:val="C00000"/>
                <w:sz w:val="20"/>
                <w:szCs w:val="20"/>
              </w:rPr>
              <w:t>privalo atlikti įrenginio</w:t>
            </w:r>
            <w:r w:rsidRPr="006D6097">
              <w:rPr>
                <w:i/>
                <w:iCs/>
                <w:color w:val="2F2B20"/>
                <w:sz w:val="20"/>
                <w:szCs w:val="20"/>
              </w:rPr>
              <w:t xml:space="preserve">, kurio bendra vardinė šiluminė galia ar šiluminė galia, kuri nepanaudojama pramoninės gamybos technologinio proceso metu, yra didesnė negu </w:t>
            </w:r>
            <w:r w:rsidRPr="006D6097">
              <w:rPr>
                <w:i/>
                <w:iCs/>
                <w:color w:val="C00000"/>
                <w:sz w:val="20"/>
                <w:szCs w:val="20"/>
              </w:rPr>
              <w:t>20 MW</w:t>
            </w:r>
            <w:r w:rsidRPr="006D6097">
              <w:rPr>
                <w:i/>
                <w:iCs/>
                <w:color w:val="2F2B20"/>
                <w:sz w:val="20"/>
                <w:szCs w:val="20"/>
              </w:rPr>
              <w:t xml:space="preserve">, </w:t>
            </w:r>
            <w:r w:rsidRPr="006D6097">
              <w:rPr>
                <w:i/>
                <w:iCs/>
                <w:color w:val="C00000"/>
                <w:sz w:val="20"/>
                <w:szCs w:val="20"/>
              </w:rPr>
              <w:t xml:space="preserve">kaštų ir naudos analizę </w:t>
            </w:r>
            <w:r w:rsidRPr="006D6097">
              <w:rPr>
                <w:i/>
                <w:iCs/>
                <w:color w:val="2F2B20"/>
                <w:sz w:val="20"/>
                <w:szCs w:val="20"/>
              </w:rPr>
              <w:t xml:space="preserve">pagal Vyriausybės nustatytą tvarką, </w:t>
            </w:r>
            <w:r w:rsidRPr="006D6097">
              <w:rPr>
                <w:i/>
                <w:iCs/>
                <w:color w:val="2F2B20"/>
                <w:sz w:val="20"/>
                <w:szCs w:val="20"/>
                <w:highlight w:val="yellow"/>
              </w:rPr>
              <w:t>kai:</w:t>
            </w:r>
          </w:p>
          <w:p w:rsidR="006D6097" w:rsidRPr="006D6097" w:rsidRDefault="006D6097" w:rsidP="006D6097">
            <w:pPr>
              <w:pStyle w:val="NormalWeb"/>
              <w:spacing w:before="0" w:beforeAutospacing="0" w:after="0" w:afterAutospacing="0"/>
              <w:rPr>
                <w:i/>
                <w:iCs/>
                <w:sz w:val="20"/>
                <w:szCs w:val="20"/>
              </w:rPr>
            </w:pPr>
            <w:r w:rsidRPr="006D6097">
              <w:rPr>
                <w:i/>
                <w:iCs/>
                <w:color w:val="2F2B20"/>
                <w:sz w:val="20"/>
                <w:szCs w:val="20"/>
                <w:highlight w:val="yellow"/>
              </w:rPr>
              <w:t>1)</w:t>
            </w:r>
            <w:r w:rsidRPr="006D6097">
              <w:rPr>
                <w:i/>
                <w:iCs/>
                <w:color w:val="2F2B20"/>
                <w:sz w:val="20"/>
                <w:szCs w:val="20"/>
              </w:rPr>
              <w:t xml:space="preserve"> planuoja įrengti naują šiluminę elektrinę;</w:t>
            </w:r>
          </w:p>
          <w:p w:rsidR="006D6097" w:rsidRPr="006D6097" w:rsidRDefault="006D6097" w:rsidP="006D6097">
            <w:pPr>
              <w:pStyle w:val="NormalWeb"/>
              <w:spacing w:before="0" w:beforeAutospacing="0" w:after="0" w:afterAutospacing="0"/>
              <w:rPr>
                <w:i/>
                <w:iCs/>
                <w:sz w:val="20"/>
                <w:szCs w:val="20"/>
              </w:rPr>
            </w:pPr>
            <w:r w:rsidRPr="006D6097">
              <w:rPr>
                <w:i/>
                <w:iCs/>
                <w:color w:val="2F2B20"/>
                <w:sz w:val="20"/>
                <w:szCs w:val="20"/>
                <w:highlight w:val="yellow"/>
              </w:rPr>
              <w:t>2)</w:t>
            </w:r>
            <w:r w:rsidRPr="006D6097">
              <w:rPr>
                <w:i/>
                <w:iCs/>
                <w:color w:val="2F2B20"/>
                <w:sz w:val="20"/>
                <w:szCs w:val="20"/>
              </w:rPr>
              <w:t xml:space="preserve"> planuoja atnaujinti šiluminę elektrinę ir jos atnaujinimo išlaidos viršija 50 procentų investicijų, reikalingų naujai tos pačios galios šiluminei elektrinei įrengti;</w:t>
            </w:r>
          </w:p>
          <w:p w:rsidR="006D6097" w:rsidRPr="006D6097" w:rsidRDefault="006D6097" w:rsidP="006D6097">
            <w:pPr>
              <w:pStyle w:val="NormalWeb"/>
              <w:spacing w:before="0" w:beforeAutospacing="0" w:after="0" w:afterAutospacing="0"/>
              <w:rPr>
                <w:i/>
                <w:iCs/>
                <w:sz w:val="20"/>
                <w:szCs w:val="20"/>
              </w:rPr>
            </w:pPr>
            <w:r w:rsidRPr="006D6097">
              <w:rPr>
                <w:i/>
                <w:iCs/>
                <w:color w:val="2F2B20"/>
                <w:sz w:val="20"/>
                <w:szCs w:val="20"/>
                <w:highlight w:val="yellow"/>
              </w:rPr>
              <w:t>3)</w:t>
            </w:r>
            <w:r w:rsidRPr="006D6097">
              <w:rPr>
                <w:i/>
                <w:iCs/>
                <w:color w:val="2F2B20"/>
                <w:sz w:val="20"/>
                <w:szCs w:val="20"/>
              </w:rPr>
              <w:t xml:space="preserve"> planuoja įrengti naują pramoninės gamybos technologiniuose procesuose naudojamą įrenginį, kuriame išsiskiria technologinio proceso metu nepanaudota šiluma;</w:t>
            </w:r>
          </w:p>
          <w:p w:rsidR="006D6097" w:rsidRPr="006D6097" w:rsidRDefault="006D6097" w:rsidP="006D6097">
            <w:pPr>
              <w:pStyle w:val="NormalWeb"/>
              <w:spacing w:before="0" w:beforeAutospacing="0" w:after="0" w:afterAutospacing="0"/>
              <w:rPr>
                <w:i/>
                <w:iCs/>
                <w:sz w:val="20"/>
                <w:szCs w:val="20"/>
              </w:rPr>
            </w:pPr>
            <w:r w:rsidRPr="006D6097">
              <w:rPr>
                <w:i/>
                <w:iCs/>
                <w:color w:val="2F2B20"/>
                <w:sz w:val="20"/>
                <w:szCs w:val="20"/>
                <w:highlight w:val="yellow"/>
              </w:rPr>
              <w:t>4)</w:t>
            </w:r>
            <w:r w:rsidRPr="006D6097">
              <w:rPr>
                <w:i/>
                <w:iCs/>
                <w:color w:val="2F2B20"/>
                <w:sz w:val="20"/>
                <w:szCs w:val="20"/>
              </w:rPr>
              <w:t xml:space="preserve"> planuoja atnaujinti pramoninės gamybos technologiniuose procesuose naudojamą įrenginį, kuriame išsiskiria technologinio proceso metu nepanaudota šiluma, ir jo atnaujinimo išlaidos viršija 50 procentų investicijų, reikalingų naujam tos pačios galios pramoninės gamybos technologiniuose procesuose naudojamam įrenginiui įrengti;</w:t>
            </w:r>
          </w:p>
          <w:p w:rsidR="006D6097" w:rsidRPr="006D6097" w:rsidRDefault="006D6097" w:rsidP="006D6097">
            <w:pPr>
              <w:pStyle w:val="NormalWeb"/>
              <w:spacing w:before="0" w:beforeAutospacing="0" w:after="0" w:afterAutospacing="0"/>
              <w:rPr>
                <w:i/>
                <w:iCs/>
                <w:sz w:val="20"/>
                <w:szCs w:val="20"/>
              </w:rPr>
            </w:pPr>
            <w:r w:rsidRPr="006D6097">
              <w:rPr>
                <w:i/>
                <w:iCs/>
                <w:color w:val="2F2B20"/>
                <w:sz w:val="20"/>
                <w:szCs w:val="20"/>
                <w:highlight w:val="yellow"/>
              </w:rPr>
              <w:t>5)</w:t>
            </w:r>
            <w:r w:rsidRPr="006D6097">
              <w:rPr>
                <w:i/>
                <w:iCs/>
                <w:color w:val="2F2B20"/>
                <w:sz w:val="20"/>
                <w:szCs w:val="20"/>
              </w:rPr>
              <w:t xml:space="preserve"> planuoja įrengti naują centralizuoto šilumos perdavimo tinklą;</w:t>
            </w:r>
          </w:p>
          <w:p w:rsidR="006D6097" w:rsidRPr="006D6097" w:rsidRDefault="006D6097" w:rsidP="006D6097">
            <w:pPr>
              <w:pStyle w:val="NormalWeb"/>
              <w:spacing w:before="0" w:beforeAutospacing="0" w:after="0" w:afterAutospacing="0"/>
              <w:rPr>
                <w:i/>
                <w:iCs/>
                <w:sz w:val="20"/>
                <w:szCs w:val="20"/>
              </w:rPr>
            </w:pPr>
            <w:r w:rsidRPr="006D6097">
              <w:rPr>
                <w:i/>
                <w:iCs/>
                <w:color w:val="2F2B20"/>
                <w:sz w:val="20"/>
                <w:szCs w:val="20"/>
                <w:highlight w:val="yellow"/>
              </w:rPr>
              <w:t>6)</w:t>
            </w:r>
            <w:r w:rsidRPr="006D6097">
              <w:rPr>
                <w:i/>
                <w:iCs/>
                <w:color w:val="2F2B20"/>
                <w:sz w:val="20"/>
                <w:szCs w:val="20"/>
              </w:rPr>
              <w:t xml:space="preserve"> planuoja esamame šilumos perdavimo tinkle įrengti naują šilumos ir (arba) elektros energijos gamybos įrenginį;</w:t>
            </w:r>
          </w:p>
          <w:p w:rsidR="00443699" w:rsidRPr="006D6097" w:rsidRDefault="006D6097" w:rsidP="006D6097">
            <w:pPr>
              <w:rPr>
                <w:sz w:val="20"/>
              </w:rPr>
            </w:pPr>
            <w:r w:rsidRPr="006D6097">
              <w:rPr>
                <w:i/>
                <w:iCs/>
                <w:color w:val="2F2B20"/>
                <w:sz w:val="20"/>
                <w:highlight w:val="yellow"/>
              </w:rPr>
              <w:t>7)</w:t>
            </w:r>
            <w:r w:rsidRPr="006D6097">
              <w:rPr>
                <w:i/>
                <w:iCs/>
                <w:color w:val="2F2B20"/>
                <w:sz w:val="20"/>
              </w:rPr>
              <w:t xml:space="preserve"> planuoja esamame šilumos perdavimo tinkle atnaujinti šilumos ir (arba) elektros energijos gamybos įrenginį ir jo atnaujinimo išlaidos viršija 50 procentų investicijų, reikalingų naujam tos pačios galios įrenginiui įrengti.</w:t>
            </w:r>
          </w:p>
        </w:tc>
        <w:tc>
          <w:tcPr>
            <w:tcW w:w="2620" w:type="dxa"/>
          </w:tcPr>
          <w:p w:rsidR="00443699" w:rsidRPr="00443699" w:rsidRDefault="006D6097" w:rsidP="00C6363C">
            <w:pPr>
              <w:rPr>
                <w:sz w:val="20"/>
              </w:rPr>
            </w:pPr>
            <w:r>
              <w:rPr>
                <w:sz w:val="20"/>
              </w:rPr>
              <w:t>Atliekant planavimo darbus.</w:t>
            </w:r>
          </w:p>
        </w:tc>
      </w:tr>
      <w:tr w:rsidR="009C62F1" w:rsidTr="00654E5A">
        <w:tc>
          <w:tcPr>
            <w:tcW w:w="672" w:type="dxa"/>
          </w:tcPr>
          <w:p w:rsidR="00443699" w:rsidRPr="00443699" w:rsidRDefault="00654E5A" w:rsidP="00C6363C">
            <w:pPr>
              <w:rPr>
                <w:sz w:val="20"/>
              </w:rPr>
            </w:pPr>
            <w:r>
              <w:rPr>
                <w:sz w:val="20"/>
              </w:rPr>
              <w:t>23 str.</w:t>
            </w:r>
          </w:p>
        </w:tc>
        <w:tc>
          <w:tcPr>
            <w:tcW w:w="6619" w:type="dxa"/>
          </w:tcPr>
          <w:p w:rsidR="00654E5A" w:rsidRPr="00654E5A" w:rsidRDefault="00654E5A" w:rsidP="00654E5A">
            <w:pPr>
              <w:rPr>
                <w:b/>
                <w:i/>
                <w:sz w:val="20"/>
              </w:rPr>
            </w:pPr>
            <w:r w:rsidRPr="00654E5A">
              <w:rPr>
                <w:b/>
                <w:i/>
                <w:sz w:val="20"/>
              </w:rPr>
              <w:t>Įstatymo įsigaliojimas ir įgyvendinimas</w:t>
            </w:r>
          </w:p>
          <w:p w:rsidR="00654E5A" w:rsidRPr="00654E5A" w:rsidRDefault="00654E5A" w:rsidP="00654E5A">
            <w:pPr>
              <w:rPr>
                <w:i/>
                <w:sz w:val="20"/>
              </w:rPr>
            </w:pPr>
            <w:r w:rsidRPr="00654E5A">
              <w:rPr>
                <w:i/>
                <w:sz w:val="20"/>
              </w:rPr>
              <w:t xml:space="preserve">1. Šis įstatymas, išskyrus šio straipsnio 4 dalį, įsigalioja </w:t>
            </w:r>
            <w:r w:rsidRPr="00654E5A">
              <w:rPr>
                <w:i/>
                <w:color w:val="C00000"/>
                <w:sz w:val="20"/>
              </w:rPr>
              <w:t>2016 m. lapkričio 15 d</w:t>
            </w:r>
            <w:r w:rsidRPr="00654E5A">
              <w:rPr>
                <w:i/>
                <w:sz w:val="20"/>
              </w:rPr>
              <w:t>.</w:t>
            </w:r>
          </w:p>
          <w:p w:rsidR="00654E5A" w:rsidRPr="00654E5A" w:rsidRDefault="00654E5A" w:rsidP="00654E5A">
            <w:pPr>
              <w:rPr>
                <w:i/>
                <w:sz w:val="20"/>
              </w:rPr>
            </w:pPr>
            <w:r w:rsidRPr="00654E5A">
              <w:rPr>
                <w:i/>
                <w:sz w:val="20"/>
              </w:rPr>
              <w:t xml:space="preserve">2. </w:t>
            </w:r>
            <w:r w:rsidRPr="00654E5A">
              <w:rPr>
                <w:i/>
                <w:color w:val="C00000"/>
                <w:sz w:val="20"/>
              </w:rPr>
              <w:t>Valstybės valdomi operatoriai iki 2017 m. gegužės 15 d.</w:t>
            </w:r>
            <w:r w:rsidRPr="00654E5A">
              <w:rPr>
                <w:i/>
                <w:sz w:val="20"/>
              </w:rPr>
              <w:t xml:space="preserve"> sudaro su Lietuvos Respublikos energetikos ministerija viešai skelbiamus susitarimus dėl energijos sutaupymo.</w:t>
            </w:r>
          </w:p>
          <w:p w:rsidR="00654E5A" w:rsidRPr="00654E5A" w:rsidRDefault="00654E5A" w:rsidP="00654E5A">
            <w:pPr>
              <w:rPr>
                <w:i/>
                <w:sz w:val="20"/>
              </w:rPr>
            </w:pPr>
            <w:r w:rsidRPr="00654E5A">
              <w:rPr>
                <w:i/>
                <w:sz w:val="20"/>
              </w:rPr>
              <w:t xml:space="preserve">3. </w:t>
            </w:r>
            <w:r w:rsidRPr="00654E5A">
              <w:rPr>
                <w:i/>
                <w:color w:val="C00000"/>
                <w:sz w:val="20"/>
              </w:rPr>
              <w:t xml:space="preserve">Energijos tiekėjai </w:t>
            </w:r>
            <w:r w:rsidRPr="00654E5A">
              <w:rPr>
                <w:i/>
                <w:sz w:val="20"/>
              </w:rPr>
              <w:t xml:space="preserve">iki </w:t>
            </w:r>
            <w:r w:rsidRPr="00654E5A">
              <w:rPr>
                <w:i/>
                <w:color w:val="C00000"/>
                <w:sz w:val="20"/>
              </w:rPr>
              <w:t>2017 m. gegužės 15 d.</w:t>
            </w:r>
            <w:r w:rsidRPr="00654E5A">
              <w:rPr>
                <w:i/>
                <w:sz w:val="20"/>
              </w:rPr>
              <w:t xml:space="preserve"> sudaro su Lietuvos Respublikos energetikos ministerija viešai skelbiamus </w:t>
            </w:r>
            <w:r w:rsidRPr="00654E5A">
              <w:rPr>
                <w:i/>
                <w:color w:val="C00000"/>
                <w:sz w:val="20"/>
              </w:rPr>
              <w:t>susitarimus</w:t>
            </w:r>
            <w:r w:rsidRPr="00654E5A">
              <w:rPr>
                <w:i/>
                <w:sz w:val="20"/>
              </w:rPr>
              <w:t xml:space="preserve"> dėl vartotojų </w:t>
            </w:r>
            <w:r w:rsidRPr="00654E5A">
              <w:rPr>
                <w:i/>
                <w:color w:val="C00000"/>
                <w:sz w:val="20"/>
              </w:rPr>
              <w:t>švietimo ir konsultavimo</w:t>
            </w:r>
            <w:r w:rsidRPr="00654E5A">
              <w:rPr>
                <w:i/>
                <w:sz w:val="20"/>
              </w:rPr>
              <w:t>.</w:t>
            </w:r>
          </w:p>
          <w:p w:rsidR="00443699" w:rsidRPr="00443699" w:rsidRDefault="00654E5A" w:rsidP="00654E5A">
            <w:pPr>
              <w:rPr>
                <w:sz w:val="20"/>
              </w:rPr>
            </w:pPr>
            <w:r w:rsidRPr="00654E5A">
              <w:rPr>
                <w:i/>
                <w:sz w:val="20"/>
              </w:rPr>
              <w:t xml:space="preserve">4. Lietuvos Respublikos Vyriausybė ir jos įgaliotos institucijos, Lietuvos Respublikos energetikos ministras, Valstybinė energetikos inspekcija prie </w:t>
            </w:r>
            <w:r w:rsidRPr="00654E5A">
              <w:rPr>
                <w:i/>
                <w:sz w:val="20"/>
              </w:rPr>
              <w:lastRenderedPageBreak/>
              <w:t xml:space="preserve">Energetikos ministerijos </w:t>
            </w:r>
            <w:r w:rsidRPr="00654E5A">
              <w:rPr>
                <w:i/>
                <w:color w:val="C00000"/>
                <w:sz w:val="20"/>
              </w:rPr>
              <w:t>iki šio įstatymo įsigaliojimo priima</w:t>
            </w:r>
            <w:r w:rsidRPr="00654E5A">
              <w:rPr>
                <w:i/>
                <w:sz w:val="20"/>
              </w:rPr>
              <w:t xml:space="preserve"> šio įstatymo </w:t>
            </w:r>
            <w:r w:rsidRPr="00654E5A">
              <w:rPr>
                <w:i/>
                <w:color w:val="C00000"/>
                <w:sz w:val="20"/>
              </w:rPr>
              <w:t>įgyvendinamuosius teisės aktus</w:t>
            </w:r>
            <w:r w:rsidRPr="00654E5A">
              <w:rPr>
                <w:i/>
                <w:sz w:val="20"/>
              </w:rPr>
              <w:t>.</w:t>
            </w:r>
          </w:p>
        </w:tc>
        <w:tc>
          <w:tcPr>
            <w:tcW w:w="2620" w:type="dxa"/>
          </w:tcPr>
          <w:p w:rsidR="00443699" w:rsidRPr="00443699" w:rsidRDefault="00C66F24" w:rsidP="00C6363C">
            <w:pPr>
              <w:rPr>
                <w:sz w:val="20"/>
              </w:rPr>
            </w:pPr>
            <w:r>
              <w:lastRenderedPageBreak/>
              <w:t>EVEDĮ</w:t>
            </w:r>
            <w:r w:rsidR="00654E5A">
              <w:t xml:space="preserve"> įsigalioja </w:t>
            </w:r>
            <w:r w:rsidR="00654E5A" w:rsidRPr="00654E5A">
              <w:rPr>
                <w:color w:val="C00000"/>
              </w:rPr>
              <w:t>2016-11-15</w:t>
            </w:r>
            <w:r w:rsidR="00654E5A">
              <w:t xml:space="preserve"> (Įstatymo 23 straipsnio 4 dalis įsigalioja 2016-11-10.)</w:t>
            </w:r>
          </w:p>
        </w:tc>
      </w:tr>
      <w:tr w:rsidR="009C62F1" w:rsidTr="00654E5A">
        <w:tc>
          <w:tcPr>
            <w:tcW w:w="672" w:type="dxa"/>
          </w:tcPr>
          <w:p w:rsidR="00443699" w:rsidRPr="00443699" w:rsidRDefault="00443699" w:rsidP="00C6363C">
            <w:pPr>
              <w:rPr>
                <w:sz w:val="20"/>
              </w:rPr>
            </w:pPr>
          </w:p>
        </w:tc>
        <w:tc>
          <w:tcPr>
            <w:tcW w:w="6619" w:type="dxa"/>
          </w:tcPr>
          <w:p w:rsidR="00443699" w:rsidRPr="00443699" w:rsidRDefault="00443699" w:rsidP="00C6363C">
            <w:pPr>
              <w:rPr>
                <w:sz w:val="20"/>
              </w:rPr>
            </w:pPr>
          </w:p>
        </w:tc>
        <w:tc>
          <w:tcPr>
            <w:tcW w:w="2620" w:type="dxa"/>
          </w:tcPr>
          <w:p w:rsidR="00443699" w:rsidRPr="00443699" w:rsidRDefault="00443699" w:rsidP="00C6363C">
            <w:pPr>
              <w:rPr>
                <w:sz w:val="20"/>
              </w:rPr>
            </w:pPr>
          </w:p>
        </w:tc>
      </w:tr>
      <w:tr w:rsidR="00654E5A" w:rsidTr="0040528E">
        <w:tc>
          <w:tcPr>
            <w:tcW w:w="9911" w:type="dxa"/>
            <w:gridSpan w:val="3"/>
          </w:tcPr>
          <w:p w:rsidR="00654E5A" w:rsidRPr="00654E5A" w:rsidRDefault="00654E5A" w:rsidP="00654E5A">
            <w:pPr>
              <w:jc w:val="center"/>
              <w:rPr>
                <w:b/>
                <w:sz w:val="20"/>
              </w:rPr>
            </w:pPr>
            <w:r w:rsidRPr="00654E5A">
              <w:rPr>
                <w:b/>
                <w:sz w:val="20"/>
              </w:rPr>
              <w:t>POĮSTATYMINIAI</w:t>
            </w:r>
            <w:r>
              <w:rPr>
                <w:b/>
                <w:sz w:val="20"/>
              </w:rPr>
              <w:t xml:space="preserve"> TA</w:t>
            </w:r>
          </w:p>
        </w:tc>
      </w:tr>
      <w:tr w:rsidR="00654E5A" w:rsidTr="00654E5A">
        <w:tc>
          <w:tcPr>
            <w:tcW w:w="672" w:type="dxa"/>
          </w:tcPr>
          <w:p w:rsidR="00654E5A" w:rsidRPr="00443699" w:rsidRDefault="00654E5A" w:rsidP="00C6363C">
            <w:pPr>
              <w:rPr>
                <w:sz w:val="20"/>
              </w:rPr>
            </w:pPr>
            <w:r>
              <w:rPr>
                <w:sz w:val="20"/>
              </w:rPr>
              <w:t>1</w:t>
            </w:r>
          </w:p>
        </w:tc>
        <w:tc>
          <w:tcPr>
            <w:tcW w:w="6619" w:type="dxa"/>
          </w:tcPr>
          <w:p w:rsidR="00654E5A" w:rsidRPr="00654E5A" w:rsidRDefault="00654E5A" w:rsidP="00C6363C">
            <w:r w:rsidRPr="00654E5A">
              <w:rPr>
                <w:sz w:val="20"/>
              </w:rPr>
              <w:t>Energijos vartojimo pastatuose, įrenginiuose ir technologiniams procesams audito atlikimo tvarkos ir sąlygų ir energijos vartojimo pastatuose, įrenginiuose ir technologiniams procesams auditą atliekančių specialistų rengimo ir atestavimo tvarkos aprašas;</w:t>
            </w:r>
          </w:p>
        </w:tc>
        <w:tc>
          <w:tcPr>
            <w:tcW w:w="2620" w:type="dxa"/>
          </w:tcPr>
          <w:p w:rsidR="00654E5A" w:rsidRPr="00B040F2" w:rsidRDefault="00433B13" w:rsidP="00C6363C">
            <w:pPr>
              <w:rPr>
                <w:sz w:val="20"/>
              </w:rPr>
            </w:pPr>
            <w:r w:rsidRPr="00B040F2">
              <w:rPr>
                <w:sz w:val="20"/>
              </w:rPr>
              <w:t xml:space="preserve">EM </w:t>
            </w:r>
            <w:r w:rsidR="005B27B5" w:rsidRPr="00B040F2">
              <w:rPr>
                <w:sz w:val="20"/>
              </w:rPr>
              <w:t xml:space="preserve">2012 m. rugpjūčio 2 d. </w:t>
            </w:r>
            <w:r w:rsidR="005B27B5" w:rsidRPr="00B040F2">
              <w:rPr>
                <w:sz w:val="20"/>
              </w:rPr>
              <w:t xml:space="preserve">įsakymas </w:t>
            </w:r>
            <w:r w:rsidR="005B27B5" w:rsidRPr="00B040F2">
              <w:rPr>
                <w:sz w:val="20"/>
              </w:rPr>
              <w:t xml:space="preserve">Nr. </w:t>
            </w:r>
            <w:hyperlink r:id="rId8" w:history="1">
              <w:r w:rsidR="005B27B5" w:rsidRPr="00B040F2">
                <w:rPr>
                  <w:rStyle w:val="Hyperlink"/>
                  <w:sz w:val="20"/>
                </w:rPr>
                <w:t>1-1</w:t>
              </w:r>
              <w:r w:rsidR="005B27B5" w:rsidRPr="00B040F2">
                <w:rPr>
                  <w:rStyle w:val="Hyperlink"/>
                  <w:sz w:val="20"/>
                </w:rPr>
                <w:t>4</w:t>
              </w:r>
              <w:r w:rsidR="005B27B5" w:rsidRPr="00B040F2">
                <w:rPr>
                  <w:rStyle w:val="Hyperlink"/>
                  <w:sz w:val="20"/>
                </w:rPr>
                <w:t>8</w:t>
              </w:r>
            </w:hyperlink>
            <w:r w:rsidR="001341DD" w:rsidRPr="00B040F2">
              <w:rPr>
                <w:sz w:val="20"/>
              </w:rPr>
              <w:t xml:space="preserve">; </w:t>
            </w:r>
            <w:r w:rsidR="00B040F2" w:rsidRPr="00B040F2">
              <w:rPr>
                <w:sz w:val="20"/>
              </w:rPr>
              <w:t xml:space="preserve">Pakeitimas 2015 m. vasario 4 d. Nr. </w:t>
            </w:r>
            <w:hyperlink r:id="rId9" w:history="1">
              <w:r w:rsidR="00B040F2" w:rsidRPr="00B040F2">
                <w:rPr>
                  <w:rStyle w:val="Hyperlink"/>
                  <w:sz w:val="20"/>
                </w:rPr>
                <w:t>1-33</w:t>
              </w:r>
            </w:hyperlink>
            <w:r w:rsidR="00B040F2">
              <w:rPr>
                <w:sz w:val="20"/>
              </w:rPr>
              <w:t>;</w:t>
            </w:r>
          </w:p>
        </w:tc>
      </w:tr>
      <w:tr w:rsidR="00654E5A" w:rsidTr="00654E5A">
        <w:tc>
          <w:tcPr>
            <w:tcW w:w="672" w:type="dxa"/>
          </w:tcPr>
          <w:p w:rsidR="00654E5A" w:rsidRPr="00443699" w:rsidRDefault="00654E5A" w:rsidP="00C6363C">
            <w:pPr>
              <w:rPr>
                <w:sz w:val="20"/>
              </w:rPr>
            </w:pPr>
            <w:r>
              <w:rPr>
                <w:sz w:val="20"/>
              </w:rPr>
              <w:t>2</w:t>
            </w:r>
          </w:p>
        </w:tc>
        <w:tc>
          <w:tcPr>
            <w:tcW w:w="6619" w:type="dxa"/>
          </w:tcPr>
          <w:p w:rsidR="00654E5A" w:rsidRPr="00443699" w:rsidRDefault="000340E1" w:rsidP="00C6363C">
            <w:pPr>
              <w:rPr>
                <w:sz w:val="20"/>
              </w:rPr>
            </w:pPr>
            <w:r w:rsidRPr="000340E1">
              <w:rPr>
                <w:sz w:val="20"/>
              </w:rPr>
              <w:t>Energijos išteklių ir energijos efektyvaus vartojimo stebėsenos tvarkos aprašas</w:t>
            </w:r>
          </w:p>
        </w:tc>
        <w:tc>
          <w:tcPr>
            <w:tcW w:w="2620" w:type="dxa"/>
          </w:tcPr>
          <w:p w:rsidR="00654E5A" w:rsidRPr="00443699" w:rsidRDefault="000340E1" w:rsidP="00C6363C">
            <w:pPr>
              <w:rPr>
                <w:sz w:val="20"/>
              </w:rPr>
            </w:pPr>
            <w:r>
              <w:rPr>
                <w:sz w:val="20"/>
              </w:rPr>
              <w:t xml:space="preserve">LRV nutarimas </w:t>
            </w:r>
            <w:r w:rsidR="006F09F2" w:rsidRPr="006F09F2">
              <w:rPr>
                <w:sz w:val="20"/>
              </w:rPr>
              <w:t xml:space="preserve">2016 m. kovo 30 d. Nr. </w:t>
            </w:r>
            <w:hyperlink r:id="rId10" w:history="1">
              <w:r w:rsidR="006F09F2" w:rsidRPr="006F09F2">
                <w:rPr>
                  <w:rStyle w:val="Hyperlink"/>
                  <w:sz w:val="20"/>
                </w:rPr>
                <w:t>332</w:t>
              </w:r>
            </w:hyperlink>
            <w:r w:rsidR="006F09F2">
              <w:rPr>
                <w:sz w:val="20"/>
              </w:rPr>
              <w:t xml:space="preserve">; </w:t>
            </w:r>
          </w:p>
        </w:tc>
      </w:tr>
      <w:tr w:rsidR="00654E5A" w:rsidTr="00654E5A">
        <w:tc>
          <w:tcPr>
            <w:tcW w:w="672" w:type="dxa"/>
          </w:tcPr>
          <w:p w:rsidR="00654E5A" w:rsidRPr="00443699" w:rsidRDefault="000E6346" w:rsidP="00C6363C">
            <w:pPr>
              <w:rPr>
                <w:sz w:val="20"/>
              </w:rPr>
            </w:pPr>
            <w:r>
              <w:rPr>
                <w:sz w:val="20"/>
              </w:rPr>
              <w:t>3</w:t>
            </w:r>
          </w:p>
        </w:tc>
        <w:tc>
          <w:tcPr>
            <w:tcW w:w="6619" w:type="dxa"/>
          </w:tcPr>
          <w:p w:rsidR="00654E5A" w:rsidRPr="00443699" w:rsidRDefault="000E6346" w:rsidP="00C6363C">
            <w:pPr>
              <w:rPr>
                <w:sz w:val="20"/>
              </w:rPr>
            </w:pPr>
            <w:r w:rsidRPr="000E6346">
              <w:rPr>
                <w:sz w:val="20"/>
              </w:rPr>
              <w:t>Energijos vartojimo efektyvumo didinimo priemonių sutaupytos energijos apskaičiavimo ir priežiūros tvarkos aprašas;</w:t>
            </w:r>
          </w:p>
        </w:tc>
        <w:tc>
          <w:tcPr>
            <w:tcW w:w="2620" w:type="dxa"/>
          </w:tcPr>
          <w:p w:rsidR="00654E5A" w:rsidRPr="00443699" w:rsidRDefault="004F07F4" w:rsidP="00C6363C">
            <w:pPr>
              <w:rPr>
                <w:sz w:val="20"/>
              </w:rPr>
            </w:pPr>
            <w:r>
              <w:rPr>
                <w:sz w:val="20"/>
              </w:rPr>
              <w:t xml:space="preserve">Pakeitimas priimtinas EM 2017-08-25 įsakymu Nr. </w:t>
            </w:r>
            <w:hyperlink r:id="rId11" w:history="1">
              <w:r w:rsidRPr="00D951B4">
                <w:rPr>
                  <w:rStyle w:val="Hyperlink"/>
                  <w:sz w:val="20"/>
                </w:rPr>
                <w:t>1-220</w:t>
              </w:r>
            </w:hyperlink>
            <w:r w:rsidR="00D951B4">
              <w:rPr>
                <w:sz w:val="20"/>
              </w:rPr>
              <w:t xml:space="preserve">; </w:t>
            </w:r>
            <w:r w:rsidR="00836434">
              <w:rPr>
                <w:sz w:val="20"/>
              </w:rPr>
              <w:t xml:space="preserve">Priimtas </w:t>
            </w:r>
            <w:r w:rsidR="00836434" w:rsidRPr="00836434">
              <w:rPr>
                <w:sz w:val="20"/>
              </w:rPr>
              <w:t xml:space="preserve">2016 m. gruodžio 5 d. </w:t>
            </w:r>
            <w:r w:rsidR="00836434">
              <w:rPr>
                <w:sz w:val="20"/>
              </w:rPr>
              <w:t xml:space="preserve">EM įsakymas </w:t>
            </w:r>
            <w:r w:rsidR="00836434" w:rsidRPr="00836434">
              <w:rPr>
                <w:sz w:val="20"/>
              </w:rPr>
              <w:t xml:space="preserve">Nr. </w:t>
            </w:r>
            <w:hyperlink r:id="rId12" w:history="1">
              <w:r w:rsidR="00836434" w:rsidRPr="00836434">
                <w:rPr>
                  <w:rStyle w:val="Hyperlink"/>
                  <w:sz w:val="20"/>
                </w:rPr>
                <w:t>1-320</w:t>
              </w:r>
            </w:hyperlink>
            <w:r w:rsidR="00836434">
              <w:rPr>
                <w:sz w:val="20"/>
              </w:rPr>
              <w:t xml:space="preserve">; </w:t>
            </w:r>
          </w:p>
        </w:tc>
      </w:tr>
      <w:tr w:rsidR="00433B13" w:rsidTr="00654E5A">
        <w:tc>
          <w:tcPr>
            <w:tcW w:w="672" w:type="dxa"/>
          </w:tcPr>
          <w:p w:rsidR="00433B13" w:rsidRPr="00443699" w:rsidRDefault="000E6346" w:rsidP="00C6363C">
            <w:pPr>
              <w:rPr>
                <w:sz w:val="20"/>
              </w:rPr>
            </w:pPr>
            <w:r>
              <w:rPr>
                <w:sz w:val="20"/>
              </w:rPr>
              <w:t>4</w:t>
            </w:r>
          </w:p>
        </w:tc>
        <w:tc>
          <w:tcPr>
            <w:tcW w:w="6619" w:type="dxa"/>
          </w:tcPr>
          <w:p w:rsidR="00433B13" w:rsidRPr="00443699" w:rsidRDefault="000E6346" w:rsidP="00C6363C">
            <w:pPr>
              <w:rPr>
                <w:sz w:val="20"/>
              </w:rPr>
            </w:pPr>
            <w:r w:rsidRPr="000E6346">
              <w:rPr>
                <w:sz w:val="20"/>
              </w:rPr>
              <w:t>Įmonių, kurios nėra smulkiojo ir vidutinio verslo subjektai, energijos vartojimo audito atlikimo ir ataskaitų teikimo priežiūros tvarkos aprašas</w:t>
            </w:r>
          </w:p>
        </w:tc>
        <w:tc>
          <w:tcPr>
            <w:tcW w:w="2620" w:type="dxa"/>
          </w:tcPr>
          <w:p w:rsidR="00433B13" w:rsidRPr="00443699" w:rsidRDefault="000E6346" w:rsidP="00C6363C">
            <w:pPr>
              <w:rPr>
                <w:sz w:val="20"/>
              </w:rPr>
            </w:pPr>
            <w:r>
              <w:rPr>
                <w:sz w:val="20"/>
              </w:rPr>
              <w:t xml:space="preserve">EM įsakymas </w:t>
            </w:r>
            <w:r w:rsidR="00836434" w:rsidRPr="00836434">
              <w:rPr>
                <w:sz w:val="20"/>
              </w:rPr>
              <w:t xml:space="preserve">2017 m. vasario 22 d. Nr. </w:t>
            </w:r>
            <w:hyperlink r:id="rId13" w:history="1">
              <w:r w:rsidR="00836434" w:rsidRPr="00836434">
                <w:rPr>
                  <w:rStyle w:val="Hyperlink"/>
                  <w:sz w:val="20"/>
                </w:rPr>
                <w:t>1-46</w:t>
              </w:r>
            </w:hyperlink>
            <w:r w:rsidR="00836434">
              <w:rPr>
                <w:sz w:val="20"/>
              </w:rPr>
              <w:t xml:space="preserve">; pakeitimas </w:t>
            </w:r>
            <w:r w:rsidR="00836434" w:rsidRPr="00836434">
              <w:rPr>
                <w:sz w:val="20"/>
              </w:rPr>
              <w:t xml:space="preserve">2017 m. rugsėjo 7 d. Nr. </w:t>
            </w:r>
            <w:hyperlink r:id="rId14" w:history="1">
              <w:r w:rsidR="00836434" w:rsidRPr="00836434">
                <w:rPr>
                  <w:rStyle w:val="Hyperlink"/>
                  <w:sz w:val="20"/>
                </w:rPr>
                <w:t>1-236</w:t>
              </w:r>
            </w:hyperlink>
          </w:p>
        </w:tc>
      </w:tr>
      <w:tr w:rsidR="007439C4" w:rsidTr="00654E5A">
        <w:tc>
          <w:tcPr>
            <w:tcW w:w="672" w:type="dxa"/>
          </w:tcPr>
          <w:p w:rsidR="007439C4" w:rsidRDefault="007439C4" w:rsidP="00C6363C">
            <w:pPr>
              <w:rPr>
                <w:sz w:val="20"/>
              </w:rPr>
            </w:pPr>
            <w:r>
              <w:rPr>
                <w:sz w:val="20"/>
              </w:rPr>
              <w:t>5</w:t>
            </w:r>
          </w:p>
        </w:tc>
        <w:tc>
          <w:tcPr>
            <w:tcW w:w="6619" w:type="dxa"/>
          </w:tcPr>
          <w:p w:rsidR="007439C4" w:rsidRPr="000E6346" w:rsidRDefault="007439C4" w:rsidP="00C6363C">
            <w:pPr>
              <w:rPr>
                <w:sz w:val="20"/>
              </w:rPr>
            </w:pPr>
            <w:r w:rsidRPr="007439C4">
              <w:rPr>
                <w:sz w:val="20"/>
              </w:rPr>
              <w:t>Energijos sutaupymo susitarimų sudarymo tvarkos aprašas</w:t>
            </w:r>
          </w:p>
        </w:tc>
        <w:tc>
          <w:tcPr>
            <w:tcW w:w="2620" w:type="dxa"/>
          </w:tcPr>
          <w:p w:rsidR="007439C4" w:rsidRDefault="00E27A50" w:rsidP="00C6363C">
            <w:pPr>
              <w:rPr>
                <w:sz w:val="20"/>
              </w:rPr>
            </w:pPr>
            <w:r>
              <w:rPr>
                <w:sz w:val="20"/>
              </w:rPr>
              <w:t>EM įsakymas</w:t>
            </w:r>
            <w:r w:rsidR="00E12335">
              <w:rPr>
                <w:sz w:val="20"/>
              </w:rPr>
              <w:t xml:space="preserve"> </w:t>
            </w:r>
            <w:r w:rsidR="00E12335" w:rsidRPr="00E12335">
              <w:rPr>
                <w:sz w:val="20"/>
              </w:rPr>
              <w:t xml:space="preserve">2017 m. liepos 14 d. Nr. </w:t>
            </w:r>
            <w:hyperlink r:id="rId15" w:history="1">
              <w:r w:rsidR="00E12335" w:rsidRPr="00E12335">
                <w:rPr>
                  <w:rStyle w:val="Hyperlink"/>
                  <w:sz w:val="20"/>
                </w:rPr>
                <w:t>1-187</w:t>
              </w:r>
            </w:hyperlink>
          </w:p>
        </w:tc>
      </w:tr>
      <w:tr w:rsidR="004F07F4" w:rsidTr="00654E5A">
        <w:tc>
          <w:tcPr>
            <w:tcW w:w="672" w:type="dxa"/>
          </w:tcPr>
          <w:p w:rsidR="004F07F4" w:rsidRDefault="004F07F4" w:rsidP="00C6363C">
            <w:pPr>
              <w:rPr>
                <w:sz w:val="20"/>
              </w:rPr>
            </w:pPr>
            <w:r>
              <w:rPr>
                <w:sz w:val="20"/>
              </w:rPr>
              <w:t>6</w:t>
            </w:r>
          </w:p>
        </w:tc>
        <w:tc>
          <w:tcPr>
            <w:tcW w:w="6619" w:type="dxa"/>
          </w:tcPr>
          <w:p w:rsidR="004F07F4" w:rsidRPr="007439C4" w:rsidRDefault="004F07F4" w:rsidP="00C6363C">
            <w:pPr>
              <w:rPr>
                <w:sz w:val="20"/>
              </w:rPr>
            </w:pPr>
            <w:r>
              <w:rPr>
                <w:sz w:val="20"/>
              </w:rPr>
              <w:t>Energijos vartotojų švietimo ir konsultavimo susitarimų sudarymo tvarkos aprašas</w:t>
            </w:r>
          </w:p>
        </w:tc>
        <w:tc>
          <w:tcPr>
            <w:tcW w:w="2620" w:type="dxa"/>
          </w:tcPr>
          <w:p w:rsidR="004F07F4" w:rsidRDefault="004F07F4" w:rsidP="00C6363C">
            <w:pPr>
              <w:rPr>
                <w:sz w:val="20"/>
              </w:rPr>
            </w:pPr>
            <w:r>
              <w:rPr>
                <w:sz w:val="20"/>
              </w:rPr>
              <w:t xml:space="preserve">EM 2017-08-25 įsakymas Nr. </w:t>
            </w:r>
            <w:hyperlink r:id="rId16" w:history="1">
              <w:r w:rsidRPr="00E12335">
                <w:rPr>
                  <w:rStyle w:val="Hyperlink"/>
                  <w:sz w:val="20"/>
                </w:rPr>
                <w:t>1-221</w:t>
              </w:r>
            </w:hyperlink>
            <w:r w:rsidR="00E12335">
              <w:rPr>
                <w:sz w:val="20"/>
              </w:rPr>
              <w:t>;</w:t>
            </w:r>
          </w:p>
        </w:tc>
      </w:tr>
    </w:tbl>
    <w:p w:rsidR="00443699" w:rsidRDefault="00443699"/>
    <w:p w:rsidR="004F07F4" w:rsidRDefault="004F07F4"/>
    <w:p w:rsidR="004F07F4" w:rsidRDefault="004F07F4" w:rsidP="004F07F4">
      <w:pPr>
        <w:jc w:val="center"/>
      </w:pPr>
      <w:r w:rsidRPr="004F07F4">
        <w:rPr>
          <w:b/>
        </w:rPr>
        <w:t>Pakeitimai LR šilumos ūkio įstatyme</w:t>
      </w:r>
      <w:r>
        <w:t>:</w:t>
      </w:r>
    </w:p>
    <w:p w:rsidR="004F07F4" w:rsidRDefault="004F07F4" w:rsidP="004F07F4">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3"/>
        <w:gridCol w:w="4050"/>
        <w:gridCol w:w="66"/>
        <w:gridCol w:w="1033"/>
        <w:gridCol w:w="1349"/>
        <w:gridCol w:w="66"/>
        <w:gridCol w:w="1578"/>
        <w:gridCol w:w="386"/>
      </w:tblGrid>
      <w:tr w:rsidR="004F07F4" w:rsidRPr="004F07F4" w:rsidTr="004F07F4">
        <w:trPr>
          <w:tblCellSpacing w:w="15" w:type="dxa"/>
        </w:trPr>
        <w:tc>
          <w:tcPr>
            <w:tcW w:w="0" w:type="auto"/>
            <w:vAlign w:val="center"/>
            <w:hideMark/>
          </w:tcPr>
          <w:p w:rsidR="004F07F4" w:rsidRPr="004F07F4" w:rsidRDefault="004F07F4" w:rsidP="004F07F4">
            <w:pPr>
              <w:jc w:val="both"/>
              <w:rPr>
                <w:sz w:val="16"/>
              </w:rPr>
            </w:pPr>
            <w:r w:rsidRPr="004F07F4">
              <w:rPr>
                <w:sz w:val="16"/>
              </w:rPr>
              <w:t>Rūšis:</w:t>
            </w:r>
          </w:p>
        </w:tc>
        <w:tc>
          <w:tcPr>
            <w:tcW w:w="0" w:type="auto"/>
            <w:vAlign w:val="center"/>
            <w:hideMark/>
          </w:tcPr>
          <w:p w:rsidR="004F07F4" w:rsidRPr="004F07F4" w:rsidRDefault="004F07F4" w:rsidP="004F07F4">
            <w:pPr>
              <w:jc w:val="both"/>
              <w:rPr>
                <w:sz w:val="16"/>
              </w:rPr>
            </w:pPr>
            <w:r w:rsidRPr="004F07F4">
              <w:rPr>
                <w:sz w:val="16"/>
              </w:rPr>
              <w:t>Įstatymas</w:t>
            </w:r>
          </w:p>
        </w:tc>
        <w:tc>
          <w:tcPr>
            <w:tcW w:w="0" w:type="auto"/>
            <w:vMerge w:val="restart"/>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Priėmimo data:</w:t>
            </w:r>
          </w:p>
        </w:tc>
        <w:tc>
          <w:tcPr>
            <w:tcW w:w="0" w:type="auto"/>
            <w:vAlign w:val="center"/>
            <w:hideMark/>
          </w:tcPr>
          <w:p w:rsidR="004F07F4" w:rsidRPr="004F07F4" w:rsidRDefault="004F07F4" w:rsidP="004F07F4">
            <w:pPr>
              <w:jc w:val="both"/>
              <w:rPr>
                <w:sz w:val="16"/>
              </w:rPr>
            </w:pPr>
            <w:r w:rsidRPr="004F07F4">
              <w:rPr>
                <w:sz w:val="16"/>
              </w:rPr>
              <w:t>2016-11-03</w:t>
            </w:r>
          </w:p>
        </w:tc>
        <w:tc>
          <w:tcPr>
            <w:tcW w:w="0" w:type="auto"/>
            <w:vMerge w:val="restart"/>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Galiojanti suvestinė redakcija:</w:t>
            </w:r>
          </w:p>
        </w:tc>
        <w:tc>
          <w:tcPr>
            <w:tcW w:w="0" w:type="auto"/>
            <w:vAlign w:val="center"/>
            <w:hideMark/>
          </w:tcPr>
          <w:p w:rsidR="004F07F4" w:rsidRPr="004F07F4" w:rsidRDefault="004F07F4" w:rsidP="004F07F4">
            <w:pPr>
              <w:jc w:val="both"/>
              <w:rPr>
                <w:sz w:val="16"/>
              </w:rPr>
            </w:pPr>
            <w:r w:rsidRPr="004F07F4">
              <w:rPr>
                <w:sz w:val="16"/>
              </w:rPr>
              <w:t>Nėra</w:t>
            </w:r>
          </w:p>
        </w:tc>
      </w:tr>
      <w:tr w:rsidR="004F07F4" w:rsidRPr="004F07F4" w:rsidTr="004F07F4">
        <w:trPr>
          <w:tblCellSpacing w:w="15" w:type="dxa"/>
        </w:trPr>
        <w:tc>
          <w:tcPr>
            <w:tcW w:w="0" w:type="auto"/>
            <w:vAlign w:val="center"/>
            <w:hideMark/>
          </w:tcPr>
          <w:p w:rsidR="004F07F4" w:rsidRPr="004F07F4" w:rsidRDefault="004F07F4" w:rsidP="004F07F4">
            <w:pPr>
              <w:jc w:val="both"/>
              <w:rPr>
                <w:sz w:val="16"/>
              </w:rPr>
            </w:pPr>
            <w:r w:rsidRPr="004F07F4">
              <w:rPr>
                <w:sz w:val="16"/>
              </w:rPr>
              <w:t>Identifikacinis kodas:</w:t>
            </w:r>
          </w:p>
        </w:tc>
        <w:tc>
          <w:tcPr>
            <w:tcW w:w="0" w:type="auto"/>
            <w:vAlign w:val="center"/>
            <w:hideMark/>
          </w:tcPr>
          <w:p w:rsidR="004F07F4" w:rsidRPr="004F07F4" w:rsidRDefault="004F07F4" w:rsidP="004F07F4">
            <w:pPr>
              <w:jc w:val="both"/>
              <w:rPr>
                <w:sz w:val="16"/>
              </w:rPr>
            </w:pPr>
            <w:r w:rsidRPr="004F07F4">
              <w:rPr>
                <w:sz w:val="16"/>
              </w:rPr>
              <w:t>2016-26486</w:t>
            </w:r>
          </w:p>
        </w:tc>
        <w:tc>
          <w:tcPr>
            <w:tcW w:w="0" w:type="auto"/>
            <w:vMerge/>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Įstaigos suteiktas nr.:</w:t>
            </w:r>
          </w:p>
        </w:tc>
        <w:tc>
          <w:tcPr>
            <w:tcW w:w="0" w:type="auto"/>
            <w:vAlign w:val="center"/>
            <w:hideMark/>
          </w:tcPr>
          <w:p w:rsidR="004F07F4" w:rsidRPr="004F07F4" w:rsidRDefault="004F07F4" w:rsidP="004F07F4">
            <w:pPr>
              <w:jc w:val="both"/>
              <w:rPr>
                <w:sz w:val="16"/>
              </w:rPr>
            </w:pPr>
            <w:r w:rsidRPr="004F07F4">
              <w:rPr>
                <w:sz w:val="16"/>
              </w:rPr>
              <w:t>XII-2705</w:t>
            </w:r>
          </w:p>
        </w:tc>
        <w:tc>
          <w:tcPr>
            <w:tcW w:w="0" w:type="auto"/>
            <w:vMerge/>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Suvestinių redakcijų sąrašas pagal datą:</w:t>
            </w:r>
          </w:p>
        </w:tc>
        <w:tc>
          <w:tcPr>
            <w:tcW w:w="0" w:type="auto"/>
            <w:vAlign w:val="center"/>
            <w:hideMark/>
          </w:tcPr>
          <w:p w:rsidR="004F07F4" w:rsidRPr="004F07F4" w:rsidRDefault="004F07F4" w:rsidP="004F07F4">
            <w:pPr>
              <w:jc w:val="both"/>
              <w:rPr>
                <w:sz w:val="16"/>
              </w:rPr>
            </w:pPr>
            <w:r w:rsidRPr="004F07F4">
              <w:rPr>
                <w:sz w:val="16"/>
              </w:rPr>
              <w:t>Nėra</w:t>
            </w:r>
          </w:p>
        </w:tc>
      </w:tr>
      <w:tr w:rsidR="004F07F4" w:rsidRPr="004F07F4" w:rsidTr="004F07F4">
        <w:trPr>
          <w:tblCellSpacing w:w="15" w:type="dxa"/>
        </w:trPr>
        <w:tc>
          <w:tcPr>
            <w:tcW w:w="0" w:type="auto"/>
            <w:vAlign w:val="center"/>
            <w:hideMark/>
          </w:tcPr>
          <w:p w:rsidR="004F07F4" w:rsidRPr="004F07F4" w:rsidRDefault="004F07F4" w:rsidP="004F07F4">
            <w:pPr>
              <w:jc w:val="both"/>
              <w:rPr>
                <w:sz w:val="16"/>
              </w:rPr>
            </w:pPr>
            <w:r w:rsidRPr="004F07F4">
              <w:rPr>
                <w:sz w:val="16"/>
              </w:rPr>
              <w:t>Užregistravimo TAR data:</w:t>
            </w:r>
          </w:p>
        </w:tc>
        <w:tc>
          <w:tcPr>
            <w:tcW w:w="0" w:type="auto"/>
            <w:vAlign w:val="center"/>
            <w:hideMark/>
          </w:tcPr>
          <w:p w:rsidR="004F07F4" w:rsidRPr="004F07F4" w:rsidRDefault="004F07F4" w:rsidP="004F07F4">
            <w:pPr>
              <w:jc w:val="both"/>
              <w:rPr>
                <w:sz w:val="16"/>
              </w:rPr>
            </w:pPr>
            <w:r w:rsidRPr="004F07F4">
              <w:rPr>
                <w:sz w:val="16"/>
              </w:rPr>
              <w:t>2016-11-09</w:t>
            </w:r>
          </w:p>
        </w:tc>
        <w:tc>
          <w:tcPr>
            <w:tcW w:w="0" w:type="auto"/>
            <w:vMerge/>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Priėmė:</w:t>
            </w:r>
          </w:p>
        </w:tc>
        <w:tc>
          <w:tcPr>
            <w:tcW w:w="0" w:type="auto"/>
            <w:vAlign w:val="center"/>
            <w:hideMark/>
          </w:tcPr>
          <w:p w:rsidR="004F07F4" w:rsidRPr="004F07F4" w:rsidRDefault="004F07F4" w:rsidP="004F07F4">
            <w:pPr>
              <w:jc w:val="both"/>
              <w:rPr>
                <w:sz w:val="16"/>
              </w:rPr>
            </w:pPr>
            <w:r w:rsidRPr="004F07F4">
              <w:rPr>
                <w:sz w:val="16"/>
              </w:rPr>
              <w:t xml:space="preserve">Lietuvos Respublikos Seimas </w:t>
            </w:r>
          </w:p>
        </w:tc>
        <w:tc>
          <w:tcPr>
            <w:tcW w:w="0" w:type="auto"/>
            <w:vMerge/>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Pakeitimų projektai:</w:t>
            </w:r>
          </w:p>
        </w:tc>
        <w:tc>
          <w:tcPr>
            <w:tcW w:w="0" w:type="auto"/>
            <w:vAlign w:val="center"/>
            <w:hideMark/>
          </w:tcPr>
          <w:p w:rsidR="004F07F4" w:rsidRPr="004F07F4" w:rsidRDefault="004F07F4" w:rsidP="004F07F4">
            <w:pPr>
              <w:jc w:val="both"/>
              <w:rPr>
                <w:sz w:val="16"/>
              </w:rPr>
            </w:pPr>
            <w:r w:rsidRPr="004F07F4">
              <w:rPr>
                <w:sz w:val="16"/>
              </w:rPr>
              <w:t>Nėra</w:t>
            </w:r>
          </w:p>
        </w:tc>
      </w:tr>
      <w:tr w:rsidR="004F07F4" w:rsidRPr="004F07F4" w:rsidTr="004F07F4">
        <w:trPr>
          <w:tblCellSpacing w:w="15" w:type="dxa"/>
        </w:trPr>
        <w:tc>
          <w:tcPr>
            <w:tcW w:w="0" w:type="auto"/>
            <w:vAlign w:val="center"/>
            <w:hideMark/>
          </w:tcPr>
          <w:p w:rsidR="004F07F4" w:rsidRPr="004F07F4" w:rsidRDefault="004F07F4" w:rsidP="004F07F4">
            <w:pPr>
              <w:jc w:val="both"/>
              <w:rPr>
                <w:sz w:val="16"/>
              </w:rPr>
            </w:pPr>
            <w:r w:rsidRPr="004F07F4">
              <w:rPr>
                <w:b/>
                <w:bCs/>
                <w:sz w:val="16"/>
              </w:rPr>
              <w:t>Galioja</w:t>
            </w:r>
            <w:r w:rsidRPr="004F07F4">
              <w:rPr>
                <w:noProof/>
                <w:sz w:val="16"/>
              </w:rPr>
              <w:drawing>
                <wp:inline distT="0" distB="0" distL="0" distR="0">
                  <wp:extent cx="153670" cy="153670"/>
                  <wp:effectExtent l="0" t="0" r="0" b="0"/>
                  <wp:docPr id="4" name="Picture 4" descr="https://www.e-tar.lt/resources/img/green.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j_id_3p" descr="https://www.e-tar.lt/resources/img/green.png?pfdrid_c=tr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F07F4">
              <w:rPr>
                <w:noProof/>
                <w:sz w:val="16"/>
              </w:rPr>
              <w:drawing>
                <wp:inline distT="0" distB="0" distL="0" distR="0">
                  <wp:extent cx="153670" cy="153670"/>
                  <wp:effectExtent l="0" t="0" r="0" b="0"/>
                  <wp:docPr id="3" name="Picture 3" descr="https://www.e-tar.lt/resources/img/list_16.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chronologyOverlayLink" descr="https://www.e-tar.lt/resources/img/list_16.png?pfdrid_c=tr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F07F4">
              <w:rPr>
                <w:sz w:val="16"/>
              </w:rPr>
              <w:t xml:space="preserve"> </w:t>
            </w:r>
          </w:p>
        </w:tc>
        <w:tc>
          <w:tcPr>
            <w:tcW w:w="0" w:type="auto"/>
            <w:vAlign w:val="center"/>
            <w:hideMark/>
          </w:tcPr>
          <w:p w:rsidR="004F07F4" w:rsidRPr="004F07F4" w:rsidRDefault="004F07F4" w:rsidP="004F07F4">
            <w:pPr>
              <w:jc w:val="both"/>
              <w:rPr>
                <w:sz w:val="16"/>
              </w:rPr>
            </w:pPr>
            <w:r w:rsidRPr="004F07F4">
              <w:rPr>
                <w:sz w:val="16"/>
              </w:rPr>
              <w:t>Įsigalioja 2016-11-15 (Įstatymo 6 straipsnio 4 dalis įsigalioja 2016-11-10. Įstatymo 2 straipsnio 1 dalis įsigalioja 2017-03-01.)</w:t>
            </w:r>
          </w:p>
        </w:tc>
        <w:tc>
          <w:tcPr>
            <w:tcW w:w="0" w:type="auto"/>
            <w:vMerge/>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Paskelbta:</w:t>
            </w:r>
          </w:p>
        </w:tc>
        <w:tc>
          <w:tcPr>
            <w:tcW w:w="0" w:type="auto"/>
            <w:vAlign w:val="center"/>
            <w:hideMark/>
          </w:tcPr>
          <w:p w:rsidR="004F07F4" w:rsidRPr="004F07F4" w:rsidRDefault="004F07F4" w:rsidP="004F07F4">
            <w:pPr>
              <w:jc w:val="both"/>
              <w:rPr>
                <w:sz w:val="16"/>
              </w:rPr>
            </w:pPr>
            <w:r w:rsidRPr="004F07F4">
              <w:rPr>
                <w:sz w:val="16"/>
              </w:rPr>
              <w:t>TAR, 2016-11-09, Nr. 26486</w:t>
            </w:r>
          </w:p>
        </w:tc>
        <w:tc>
          <w:tcPr>
            <w:tcW w:w="0" w:type="auto"/>
            <w:vMerge/>
            <w:tcBorders>
              <w:top w:val="nil"/>
              <w:left w:val="nil"/>
              <w:bottom w:val="nil"/>
              <w:right w:val="nil"/>
            </w:tcBorders>
            <w:vAlign w:val="center"/>
            <w:hideMark/>
          </w:tcPr>
          <w:p w:rsidR="004F07F4" w:rsidRPr="004F07F4" w:rsidRDefault="004F07F4" w:rsidP="004F07F4">
            <w:pPr>
              <w:jc w:val="both"/>
              <w:rPr>
                <w:sz w:val="16"/>
              </w:rPr>
            </w:pPr>
          </w:p>
        </w:tc>
        <w:tc>
          <w:tcPr>
            <w:tcW w:w="0" w:type="auto"/>
            <w:vAlign w:val="center"/>
            <w:hideMark/>
          </w:tcPr>
          <w:p w:rsidR="004F07F4" w:rsidRPr="004F07F4" w:rsidRDefault="004F07F4" w:rsidP="004F07F4">
            <w:pPr>
              <w:jc w:val="both"/>
              <w:rPr>
                <w:sz w:val="16"/>
              </w:rPr>
            </w:pPr>
            <w:r w:rsidRPr="004F07F4">
              <w:rPr>
                <w:sz w:val="16"/>
              </w:rPr>
              <w:t xml:space="preserve">Eurovoc terminai: </w:t>
            </w:r>
          </w:p>
        </w:tc>
        <w:tc>
          <w:tcPr>
            <w:tcW w:w="0" w:type="auto"/>
            <w:vAlign w:val="center"/>
            <w:hideMark/>
          </w:tcPr>
          <w:p w:rsidR="004F07F4" w:rsidRPr="004F07F4" w:rsidRDefault="004F07F4" w:rsidP="004F07F4">
            <w:pPr>
              <w:jc w:val="both"/>
              <w:rPr>
                <w:sz w:val="16"/>
              </w:rPr>
            </w:pPr>
          </w:p>
        </w:tc>
      </w:tr>
    </w:tbl>
    <w:p w:rsidR="004F07F4" w:rsidRDefault="004F07F4" w:rsidP="004F07F4">
      <w:pPr>
        <w:jc w:val="both"/>
      </w:pPr>
    </w:p>
    <w:p w:rsidR="004F07F4" w:rsidRPr="004F07F4" w:rsidRDefault="004F07F4" w:rsidP="004F07F4">
      <w:pPr>
        <w:jc w:val="both"/>
        <w:rPr>
          <w:sz w:val="22"/>
          <w:szCs w:val="22"/>
        </w:rPr>
      </w:pPr>
    </w:p>
    <w:p w:rsidR="004F07F4" w:rsidRPr="004F07F4" w:rsidRDefault="004F07F4" w:rsidP="004F07F4">
      <w:pPr>
        <w:jc w:val="center"/>
        <w:rPr>
          <w:b/>
          <w:bCs/>
          <w:caps/>
          <w:sz w:val="22"/>
          <w:szCs w:val="22"/>
        </w:rPr>
      </w:pPr>
      <w:r w:rsidRPr="004F07F4">
        <w:rPr>
          <w:b/>
          <w:bCs/>
          <w:caps/>
          <w:sz w:val="22"/>
          <w:szCs w:val="22"/>
        </w:rPr>
        <w:t>LIETUVOS RESPUBLIKOS</w:t>
      </w:r>
    </w:p>
    <w:p w:rsidR="004F07F4" w:rsidRPr="004F07F4" w:rsidRDefault="004F07F4" w:rsidP="004F07F4">
      <w:pPr>
        <w:jc w:val="center"/>
        <w:rPr>
          <w:b/>
          <w:caps/>
          <w:sz w:val="22"/>
          <w:szCs w:val="22"/>
        </w:rPr>
      </w:pPr>
      <w:r w:rsidRPr="004F07F4">
        <w:rPr>
          <w:b/>
          <w:caps/>
          <w:sz w:val="22"/>
          <w:szCs w:val="22"/>
        </w:rPr>
        <w:t>ŠILUMOS ŪKIO ĮSTATYMO NR. IX-1565 2, 11, 12, 14 IR 16 STRAIPSNIŲ PAKEITIMO</w:t>
      </w:r>
    </w:p>
    <w:p w:rsidR="004F07F4" w:rsidRPr="004F07F4" w:rsidRDefault="004F07F4" w:rsidP="004F07F4">
      <w:pPr>
        <w:jc w:val="center"/>
        <w:rPr>
          <w:caps/>
          <w:sz w:val="22"/>
          <w:szCs w:val="22"/>
        </w:rPr>
      </w:pPr>
      <w:r w:rsidRPr="004F07F4">
        <w:rPr>
          <w:b/>
          <w:caps/>
          <w:sz w:val="22"/>
          <w:szCs w:val="22"/>
        </w:rPr>
        <w:t>ĮSTATYMAS</w:t>
      </w:r>
    </w:p>
    <w:p w:rsidR="004F07F4" w:rsidRPr="004F07F4" w:rsidRDefault="004F07F4" w:rsidP="004F07F4">
      <w:pPr>
        <w:jc w:val="center"/>
        <w:rPr>
          <w:b/>
          <w:caps/>
          <w:sz w:val="22"/>
          <w:szCs w:val="22"/>
        </w:rPr>
      </w:pPr>
    </w:p>
    <w:p w:rsidR="004F07F4" w:rsidRPr="004F07F4" w:rsidRDefault="004F07F4" w:rsidP="004F07F4">
      <w:pPr>
        <w:jc w:val="center"/>
        <w:rPr>
          <w:sz w:val="22"/>
          <w:szCs w:val="22"/>
        </w:rPr>
      </w:pPr>
      <w:r w:rsidRPr="004F07F4">
        <w:rPr>
          <w:sz w:val="22"/>
          <w:szCs w:val="22"/>
        </w:rPr>
        <w:t>2016 m. lapkričio 3 d. Nr. XII-2705</w:t>
      </w:r>
    </w:p>
    <w:p w:rsidR="004F07F4" w:rsidRPr="004F07F4" w:rsidRDefault="004F07F4" w:rsidP="004F07F4">
      <w:pPr>
        <w:jc w:val="center"/>
        <w:rPr>
          <w:sz w:val="22"/>
          <w:szCs w:val="22"/>
        </w:rPr>
      </w:pPr>
      <w:r w:rsidRPr="004F07F4">
        <w:rPr>
          <w:sz w:val="22"/>
          <w:szCs w:val="22"/>
        </w:rPr>
        <w:t>Vilnius</w:t>
      </w:r>
    </w:p>
    <w:p w:rsidR="004F07F4" w:rsidRPr="004F07F4" w:rsidRDefault="004F07F4" w:rsidP="004F07F4">
      <w:pPr>
        <w:jc w:val="center"/>
        <w:rPr>
          <w:sz w:val="22"/>
          <w:szCs w:val="22"/>
        </w:rPr>
      </w:pPr>
    </w:p>
    <w:p w:rsidR="004F07F4" w:rsidRPr="004F07F4" w:rsidRDefault="004F07F4" w:rsidP="004F07F4">
      <w:pPr>
        <w:tabs>
          <w:tab w:val="center" w:pos="4153"/>
          <w:tab w:val="right" w:pos="8306"/>
        </w:tabs>
        <w:rPr>
          <w:sz w:val="22"/>
          <w:szCs w:val="22"/>
          <w:lang w:val="en-US"/>
        </w:rPr>
      </w:pPr>
    </w:p>
    <w:p w:rsidR="004F07F4" w:rsidRPr="004F07F4" w:rsidRDefault="004F07F4" w:rsidP="004F07F4">
      <w:pPr>
        <w:ind w:firstLine="720"/>
        <w:jc w:val="both"/>
        <w:rPr>
          <w:b/>
          <w:bCs/>
          <w:kern w:val="32"/>
          <w:sz w:val="22"/>
          <w:szCs w:val="22"/>
        </w:rPr>
      </w:pPr>
      <w:r w:rsidRPr="004F07F4">
        <w:rPr>
          <w:b/>
          <w:bCs/>
          <w:kern w:val="32"/>
          <w:sz w:val="22"/>
          <w:szCs w:val="22"/>
        </w:rPr>
        <w:t>1 straipsnis. 2 straipsnio pakeitimas</w:t>
      </w:r>
    </w:p>
    <w:p w:rsidR="004F07F4" w:rsidRPr="004F07F4" w:rsidRDefault="004F07F4" w:rsidP="004F07F4">
      <w:pPr>
        <w:ind w:firstLine="720"/>
        <w:jc w:val="both"/>
        <w:rPr>
          <w:bCs/>
          <w:kern w:val="32"/>
          <w:sz w:val="22"/>
          <w:szCs w:val="22"/>
        </w:rPr>
      </w:pPr>
      <w:r w:rsidRPr="004F07F4">
        <w:rPr>
          <w:bCs/>
          <w:kern w:val="32"/>
          <w:sz w:val="22"/>
          <w:szCs w:val="22"/>
        </w:rPr>
        <w:t>1. Papildyti 2 straipsnį nauja 9 dalimi:</w:t>
      </w:r>
    </w:p>
    <w:p w:rsidR="004F07F4" w:rsidRPr="004F07F4" w:rsidRDefault="004F07F4" w:rsidP="004F07F4">
      <w:pPr>
        <w:ind w:firstLine="720"/>
        <w:jc w:val="both"/>
        <w:rPr>
          <w:bCs/>
          <w:color w:val="000000"/>
          <w:kern w:val="32"/>
          <w:sz w:val="22"/>
          <w:szCs w:val="22"/>
        </w:rPr>
      </w:pPr>
      <w:r w:rsidRPr="004F07F4">
        <w:rPr>
          <w:bCs/>
          <w:kern w:val="32"/>
          <w:sz w:val="22"/>
          <w:szCs w:val="22"/>
        </w:rPr>
        <w:t xml:space="preserve">„9. </w:t>
      </w:r>
      <w:r w:rsidRPr="004F07F4">
        <w:rPr>
          <w:b/>
          <w:bCs/>
          <w:kern w:val="32"/>
          <w:sz w:val="22"/>
          <w:szCs w:val="22"/>
        </w:rPr>
        <w:t>Efektyvaus centralizuoto šilumos tiekimo sistema</w:t>
      </w:r>
      <w:r w:rsidRPr="004F07F4">
        <w:rPr>
          <w:bCs/>
          <w:kern w:val="32"/>
          <w:sz w:val="22"/>
          <w:szCs w:val="22"/>
        </w:rPr>
        <w:t xml:space="preserve"> – aprūpinimo šiluma sistema, kurioje esamam šilumos energijos poreikiui pagaminti naudojama ne mažiau kaip 50 procentų atsinaujinančiųjų išteklių energijos, 50 procentų technologinio proceso metu nepanaudotos šilumos, 75 procentai bendruose šilumos ir elektros gamybos įrenginiuose pagamintos šilumos arba ne mažiau kaip 50 procentų bendro jų derinio.</w:t>
      </w:r>
      <w:r w:rsidRPr="004F07F4">
        <w:rPr>
          <w:bCs/>
          <w:color w:val="000000"/>
          <w:kern w:val="32"/>
          <w:sz w:val="22"/>
          <w:szCs w:val="22"/>
        </w:rPr>
        <w:t>“</w:t>
      </w:r>
    </w:p>
    <w:p w:rsidR="004F07F4" w:rsidRPr="004F07F4" w:rsidRDefault="004F07F4" w:rsidP="004F07F4">
      <w:pPr>
        <w:ind w:firstLine="720"/>
        <w:jc w:val="both"/>
        <w:rPr>
          <w:b/>
          <w:bCs/>
          <w:kern w:val="32"/>
          <w:sz w:val="22"/>
          <w:szCs w:val="22"/>
        </w:rPr>
      </w:pPr>
      <w:r w:rsidRPr="004F07F4">
        <w:rPr>
          <w:bCs/>
          <w:kern w:val="32"/>
          <w:sz w:val="22"/>
          <w:szCs w:val="22"/>
        </w:rPr>
        <w:t xml:space="preserve">2. </w:t>
      </w:r>
      <w:r w:rsidRPr="004F07F4">
        <w:rPr>
          <w:bCs/>
          <w:color w:val="000000"/>
          <w:kern w:val="32"/>
          <w:sz w:val="22"/>
          <w:szCs w:val="22"/>
        </w:rPr>
        <w:t>Buvusias 2 straipsnio 9–38 dalis laikyti atitinkamai 10–39 dalimis.</w:t>
      </w:r>
    </w:p>
    <w:p w:rsidR="004F07F4" w:rsidRPr="004F07F4" w:rsidRDefault="004F07F4" w:rsidP="004F07F4">
      <w:pPr>
        <w:ind w:firstLine="720"/>
        <w:jc w:val="both"/>
        <w:rPr>
          <w:bCs/>
          <w:kern w:val="32"/>
          <w:sz w:val="22"/>
          <w:szCs w:val="22"/>
        </w:rPr>
      </w:pPr>
      <w:r w:rsidRPr="004F07F4">
        <w:rPr>
          <w:bCs/>
          <w:kern w:val="32"/>
          <w:sz w:val="22"/>
          <w:szCs w:val="22"/>
        </w:rPr>
        <w:t>3. Papildyti 2 straipsnį nauja 40 dalimi:</w:t>
      </w:r>
    </w:p>
    <w:p w:rsidR="004F07F4" w:rsidRPr="004F07F4" w:rsidRDefault="004F07F4" w:rsidP="004F07F4">
      <w:pPr>
        <w:ind w:firstLine="720"/>
        <w:jc w:val="both"/>
        <w:rPr>
          <w:bCs/>
          <w:color w:val="000000"/>
          <w:kern w:val="32"/>
          <w:sz w:val="22"/>
          <w:szCs w:val="22"/>
        </w:rPr>
      </w:pPr>
      <w:r w:rsidRPr="004F07F4">
        <w:rPr>
          <w:bCs/>
          <w:kern w:val="32"/>
          <w:sz w:val="22"/>
          <w:szCs w:val="22"/>
        </w:rPr>
        <w:t xml:space="preserve">„40. </w:t>
      </w:r>
      <w:r w:rsidRPr="004F07F4">
        <w:rPr>
          <w:b/>
          <w:bCs/>
          <w:kern w:val="32"/>
          <w:sz w:val="22"/>
          <w:szCs w:val="22"/>
        </w:rPr>
        <w:t>Šilumos skaitiklis</w:t>
      </w:r>
      <w:r w:rsidRPr="004F07F4">
        <w:rPr>
          <w:bCs/>
          <w:kern w:val="32"/>
          <w:sz w:val="22"/>
          <w:szCs w:val="22"/>
        </w:rPr>
        <w:t xml:space="preserve"> – </w:t>
      </w:r>
      <w:r w:rsidRPr="004F07F4">
        <w:rPr>
          <w:bCs/>
          <w:color w:val="000000"/>
          <w:kern w:val="32"/>
          <w:sz w:val="22"/>
          <w:szCs w:val="22"/>
        </w:rPr>
        <w:t>neatsiskaitomasis šilumos apskaitos prietaisas, įrengtas šilumos vartotojų butuose ar kitose patalpose ir matuojantis suvartotą šilumos kiekį. Šių apskaitos prietaisų rodmenys naudojami į pastatą patiektam šilumos kiekiui paskirstyti šilumos vartotojams.“</w:t>
      </w:r>
    </w:p>
    <w:p w:rsidR="004F07F4" w:rsidRPr="004F07F4" w:rsidRDefault="004F07F4" w:rsidP="004F07F4">
      <w:pPr>
        <w:ind w:firstLine="720"/>
        <w:jc w:val="both"/>
        <w:rPr>
          <w:b/>
          <w:bCs/>
          <w:kern w:val="32"/>
          <w:sz w:val="22"/>
          <w:szCs w:val="22"/>
        </w:rPr>
      </w:pPr>
      <w:r w:rsidRPr="004F07F4">
        <w:rPr>
          <w:bCs/>
          <w:kern w:val="32"/>
          <w:sz w:val="22"/>
          <w:szCs w:val="22"/>
        </w:rPr>
        <w:t xml:space="preserve">4. </w:t>
      </w:r>
      <w:r w:rsidRPr="004F07F4">
        <w:rPr>
          <w:bCs/>
          <w:color w:val="000000"/>
          <w:kern w:val="32"/>
          <w:sz w:val="22"/>
          <w:szCs w:val="22"/>
        </w:rPr>
        <w:t>Buvusias 2 straipsnio 39–49 dalis laikyti atitinkamai 41–51 dalimis.</w:t>
      </w:r>
    </w:p>
    <w:p w:rsidR="004F07F4" w:rsidRPr="004F07F4" w:rsidRDefault="004F07F4" w:rsidP="004F07F4">
      <w:pPr>
        <w:ind w:firstLine="720"/>
        <w:jc w:val="both"/>
        <w:rPr>
          <w:b/>
          <w:sz w:val="22"/>
          <w:szCs w:val="22"/>
          <w:lang w:eastAsia="lt-LT"/>
        </w:rPr>
      </w:pPr>
    </w:p>
    <w:p w:rsidR="004F07F4" w:rsidRPr="004F07F4" w:rsidRDefault="004F07F4" w:rsidP="004F07F4">
      <w:pPr>
        <w:ind w:firstLine="720"/>
        <w:jc w:val="both"/>
        <w:rPr>
          <w:b/>
          <w:sz w:val="22"/>
          <w:szCs w:val="22"/>
          <w:lang w:eastAsia="lt-LT"/>
        </w:rPr>
      </w:pPr>
      <w:r w:rsidRPr="004F07F4">
        <w:rPr>
          <w:b/>
          <w:sz w:val="22"/>
          <w:szCs w:val="22"/>
          <w:lang w:eastAsia="lt-LT"/>
        </w:rPr>
        <w:t>2 straipsnis. 11 straipsnio pakeitimas</w:t>
      </w:r>
    </w:p>
    <w:p w:rsidR="004F07F4" w:rsidRPr="004F07F4" w:rsidRDefault="004F07F4" w:rsidP="004F07F4">
      <w:pPr>
        <w:ind w:firstLine="720"/>
        <w:jc w:val="both"/>
        <w:rPr>
          <w:sz w:val="22"/>
          <w:szCs w:val="22"/>
          <w:lang w:eastAsia="lt-LT"/>
        </w:rPr>
      </w:pPr>
      <w:r w:rsidRPr="004F07F4">
        <w:rPr>
          <w:sz w:val="22"/>
          <w:szCs w:val="22"/>
          <w:lang w:eastAsia="lt-LT"/>
        </w:rPr>
        <w:t>1. Papildyti 11 straipsnį 4 dalimi:</w:t>
      </w:r>
    </w:p>
    <w:p w:rsidR="004F07F4" w:rsidRPr="004F07F4" w:rsidRDefault="004F07F4" w:rsidP="004F07F4">
      <w:pPr>
        <w:ind w:firstLine="720"/>
        <w:jc w:val="both"/>
        <w:rPr>
          <w:sz w:val="22"/>
          <w:szCs w:val="22"/>
          <w:lang w:eastAsia="lt-LT"/>
        </w:rPr>
      </w:pPr>
      <w:r w:rsidRPr="004F07F4">
        <w:rPr>
          <w:sz w:val="22"/>
          <w:szCs w:val="22"/>
          <w:lang w:eastAsia="lt-LT"/>
        </w:rPr>
        <w:lastRenderedPageBreak/>
        <w:t>„4. Šilumos tiekėjai įrengia vartotojo bute ar kitose patalpose:</w:t>
      </w:r>
    </w:p>
    <w:p w:rsidR="004F07F4" w:rsidRPr="004F07F4" w:rsidRDefault="004F07F4" w:rsidP="004F07F4">
      <w:pPr>
        <w:ind w:firstLine="720"/>
        <w:jc w:val="both"/>
        <w:rPr>
          <w:sz w:val="22"/>
          <w:szCs w:val="22"/>
          <w:lang w:eastAsia="lt-LT"/>
        </w:rPr>
      </w:pPr>
      <w:r w:rsidRPr="004F07F4">
        <w:rPr>
          <w:sz w:val="22"/>
          <w:szCs w:val="22"/>
          <w:lang w:eastAsia="lt-LT"/>
        </w:rPr>
        <w:t>1) šilumos skaitiklius, jeigu prie šilumos perdavimo tinklo prijungiamas naujas statomas pastatas;</w:t>
      </w:r>
    </w:p>
    <w:p w:rsidR="004F07F4" w:rsidRPr="004F07F4" w:rsidRDefault="004F07F4" w:rsidP="004F07F4">
      <w:pPr>
        <w:ind w:firstLine="720"/>
        <w:jc w:val="both"/>
        <w:rPr>
          <w:sz w:val="22"/>
          <w:szCs w:val="22"/>
          <w:lang w:eastAsia="lt-LT"/>
        </w:rPr>
      </w:pPr>
      <w:r w:rsidRPr="004F07F4">
        <w:rPr>
          <w:sz w:val="22"/>
          <w:szCs w:val="22"/>
          <w:lang w:eastAsia="lt-LT"/>
        </w:rPr>
        <w:t>2) šilumos skaitiklius, jeigu atkuriant ar pagerinant pastato atitvarų ir (ar) inžinerinių sistemų fizines ir energines savybes yra rekonstruojamas, atnaujinamas (modernizuojamas) ar remontuojamas pastatas (jo dalis), kurio rekonstravimo, atnaujinimo (modernizavimo) ar remonto kaina sudaro daugiau kaip 25 procentus pastato atkuriamosios vertės, neįskaitant žemės sklypo, ant kurio stovi pastatas, ir gautas daugumos rekonstruojamo, atnaujinamo (modernizuojamo) ar remontuojamo pastato savininkų sutikimas įrengti šilumos skaitiklius;</w:t>
      </w:r>
    </w:p>
    <w:p w:rsidR="004F07F4" w:rsidRPr="004F07F4" w:rsidRDefault="004F07F4" w:rsidP="004F07F4">
      <w:pPr>
        <w:ind w:firstLine="720"/>
        <w:jc w:val="both"/>
        <w:rPr>
          <w:sz w:val="22"/>
          <w:szCs w:val="22"/>
          <w:lang w:eastAsia="lt-LT"/>
        </w:rPr>
      </w:pPr>
      <w:r w:rsidRPr="004F07F4">
        <w:rPr>
          <w:sz w:val="22"/>
          <w:szCs w:val="22"/>
          <w:lang w:eastAsia="lt-LT"/>
        </w:rPr>
        <w:t xml:space="preserve">3) šilumos skaitiklius arba daliklius, jeigu </w:t>
      </w:r>
      <w:r w:rsidRPr="004F07F4">
        <w:rPr>
          <w:color w:val="000000"/>
          <w:sz w:val="22"/>
          <w:szCs w:val="22"/>
          <w:lang w:eastAsia="lt-LT"/>
        </w:rPr>
        <w:t xml:space="preserve">yra techninės galimybės ir vartotojai pageidauja.“ </w:t>
      </w:r>
    </w:p>
    <w:p w:rsidR="004F07F4" w:rsidRPr="004F07F4" w:rsidRDefault="004F07F4" w:rsidP="004F07F4">
      <w:pPr>
        <w:ind w:firstLine="720"/>
        <w:jc w:val="both"/>
        <w:rPr>
          <w:sz w:val="22"/>
          <w:szCs w:val="22"/>
          <w:lang w:eastAsia="lt-LT"/>
        </w:rPr>
      </w:pPr>
      <w:r w:rsidRPr="004F07F4">
        <w:rPr>
          <w:sz w:val="22"/>
          <w:szCs w:val="22"/>
          <w:lang w:eastAsia="lt-LT"/>
        </w:rPr>
        <w:t>2. Papildyti 11 straipsnį 5 dalimi:</w:t>
      </w:r>
    </w:p>
    <w:p w:rsidR="004F07F4" w:rsidRPr="004F07F4" w:rsidRDefault="004F07F4" w:rsidP="004F07F4">
      <w:pPr>
        <w:ind w:firstLine="720"/>
        <w:jc w:val="both"/>
        <w:rPr>
          <w:sz w:val="22"/>
          <w:szCs w:val="22"/>
          <w:lang w:eastAsia="lt-LT"/>
        </w:rPr>
      </w:pPr>
      <w:r w:rsidRPr="004F07F4">
        <w:rPr>
          <w:color w:val="000000"/>
          <w:sz w:val="22"/>
          <w:szCs w:val="22"/>
          <w:lang w:eastAsia="lt-LT"/>
        </w:rPr>
        <w:t>„5. Už šio straipsnio 4 dalyje numatytų šilumos skaitiklių arba daliklių įrengimą ir eksploatavimą vartotojams, kuriems įrengti šilumos skaitikliai arba dalikliai, yra nustatomas atskiras mokestis. Šilumos skaitiklių arba daliklių aptarnavimo mokestį nustato savivaldybės taryba pagal Valstybinės kainų ir energetikos kontrolės komisijos patvirtintą metodiką. Šių apskaitos prietaisų rodmenys naudojami atsiskaitomaisiais šilumos apskaitos prietaisais nustatytam šilumos kiekiui paskirstyti vartotojams.</w:t>
      </w:r>
      <w:r w:rsidRPr="004F07F4">
        <w:rPr>
          <w:sz w:val="22"/>
          <w:szCs w:val="22"/>
          <w:lang w:eastAsia="lt-LT"/>
        </w:rPr>
        <w:t xml:space="preserve">“ </w:t>
      </w:r>
    </w:p>
    <w:p w:rsidR="004F07F4" w:rsidRPr="004F07F4" w:rsidRDefault="004F07F4" w:rsidP="004F07F4">
      <w:pPr>
        <w:ind w:firstLine="720"/>
        <w:jc w:val="both"/>
        <w:rPr>
          <w:b/>
          <w:bCs/>
          <w:kern w:val="32"/>
          <w:sz w:val="22"/>
          <w:szCs w:val="22"/>
        </w:rPr>
      </w:pPr>
    </w:p>
    <w:p w:rsidR="004F07F4" w:rsidRPr="004F07F4" w:rsidRDefault="004F07F4" w:rsidP="004F07F4">
      <w:pPr>
        <w:ind w:firstLine="720"/>
        <w:jc w:val="both"/>
        <w:rPr>
          <w:b/>
          <w:bCs/>
          <w:kern w:val="32"/>
          <w:sz w:val="22"/>
          <w:szCs w:val="22"/>
        </w:rPr>
      </w:pPr>
      <w:r w:rsidRPr="004F07F4">
        <w:rPr>
          <w:b/>
          <w:bCs/>
          <w:kern w:val="32"/>
          <w:sz w:val="22"/>
          <w:szCs w:val="22"/>
        </w:rPr>
        <w:t>3 straipsnis. 12 straipsnio pakeitimas</w:t>
      </w:r>
    </w:p>
    <w:p w:rsidR="004F07F4" w:rsidRPr="004F07F4" w:rsidRDefault="004F07F4" w:rsidP="004F07F4">
      <w:pPr>
        <w:ind w:firstLine="720"/>
        <w:jc w:val="both"/>
        <w:rPr>
          <w:bCs/>
          <w:kern w:val="32"/>
          <w:sz w:val="22"/>
          <w:szCs w:val="22"/>
        </w:rPr>
      </w:pPr>
      <w:r w:rsidRPr="004F07F4">
        <w:rPr>
          <w:bCs/>
          <w:color w:val="000000"/>
          <w:kern w:val="32"/>
          <w:sz w:val="22"/>
          <w:szCs w:val="22"/>
        </w:rPr>
        <w:t>1. Pakeisti 12 straipsnio 3 dalį ir ją išdėstyti taip:</w:t>
      </w:r>
    </w:p>
    <w:p w:rsidR="004F07F4" w:rsidRPr="004F07F4" w:rsidRDefault="004F07F4" w:rsidP="004F07F4">
      <w:pPr>
        <w:ind w:firstLine="720"/>
        <w:jc w:val="both"/>
        <w:rPr>
          <w:bCs/>
          <w:color w:val="000000"/>
          <w:kern w:val="32"/>
          <w:sz w:val="22"/>
          <w:szCs w:val="22"/>
        </w:rPr>
      </w:pPr>
      <w:r w:rsidRPr="004F07F4">
        <w:rPr>
          <w:bCs/>
          <w:color w:val="000000"/>
          <w:kern w:val="32"/>
          <w:sz w:val="22"/>
          <w:szCs w:val="22"/>
        </w:rPr>
        <w:t>„3. Atsiskaitymo dokumentas yra sąskaita už šilumą arba, savivaldybės institucijoms nustačius, mokesčio už šilumą pranešimas, kuris išrašomas buitiniams šilumos vartotojams (toliau kartu – sąskaita (mokėjimo pranešimas). Buitiniam šilumos vartotojui išrašytoje sąskaitoje (mokėjimo pranešime) turi būti pateikta tiksli, aiški ir išsami informacija, kuria remdamasis šilumos tiekėjas apskaičiavo vartotojo mokesčio dydį už jo suvartotą šilumos kiekį patalpoms šildyti ir šilumos kiekį karštam vandeniui ruošti bei karšto vandens temperatūrai palaikyti. Pateiktos informacijos privalo pakakti, kad vartotojas galėtų pasitikrinti, ar teisingai jam apskaičiuoti mokesčiai.“</w:t>
      </w:r>
    </w:p>
    <w:p w:rsidR="004F07F4" w:rsidRPr="004F07F4" w:rsidRDefault="004F07F4" w:rsidP="004F07F4">
      <w:pPr>
        <w:ind w:firstLine="720"/>
        <w:jc w:val="both"/>
        <w:rPr>
          <w:bCs/>
          <w:kern w:val="32"/>
          <w:sz w:val="22"/>
          <w:szCs w:val="22"/>
        </w:rPr>
      </w:pPr>
      <w:r w:rsidRPr="004F07F4">
        <w:rPr>
          <w:bCs/>
          <w:color w:val="000000"/>
          <w:kern w:val="32"/>
          <w:sz w:val="22"/>
          <w:szCs w:val="22"/>
        </w:rPr>
        <w:t xml:space="preserve">2. </w:t>
      </w:r>
      <w:r w:rsidRPr="004F07F4">
        <w:rPr>
          <w:bCs/>
          <w:kern w:val="32"/>
          <w:sz w:val="22"/>
          <w:szCs w:val="22"/>
        </w:rPr>
        <w:t>Papildyti 12 straipsnį 4 dalimi:</w:t>
      </w:r>
    </w:p>
    <w:p w:rsidR="004F07F4" w:rsidRPr="004F07F4" w:rsidRDefault="004F07F4" w:rsidP="004F07F4">
      <w:pPr>
        <w:ind w:firstLine="720"/>
        <w:jc w:val="both"/>
        <w:rPr>
          <w:bCs/>
          <w:color w:val="000000"/>
          <w:kern w:val="32"/>
          <w:sz w:val="22"/>
          <w:szCs w:val="22"/>
        </w:rPr>
      </w:pPr>
      <w:r w:rsidRPr="004F07F4">
        <w:rPr>
          <w:bCs/>
          <w:color w:val="000000"/>
          <w:kern w:val="32"/>
          <w:sz w:val="22"/>
          <w:szCs w:val="22"/>
        </w:rPr>
        <w:t>„4. Šilumos vartotojams pateikiamos popierinės sąskaitos (mokėjimo pranešimai), išskyrus atvejus, kai vartotojas pageidauja gauti sąskaitas (mokėjimo pranešimus) elektroniniu būdu.</w:t>
      </w:r>
      <w:r w:rsidRPr="004F07F4">
        <w:rPr>
          <w:bCs/>
          <w:kern w:val="32"/>
          <w:sz w:val="22"/>
          <w:szCs w:val="22"/>
        </w:rPr>
        <w:t xml:space="preserve"> Šilumos ir (ar) karšto vandens tiekėjai teikia vartotojams sąskaitas (mokėjimo pranešimus) netaikydami papildomų mokesčių.“</w:t>
      </w:r>
    </w:p>
    <w:p w:rsidR="004F07F4" w:rsidRPr="004F07F4" w:rsidRDefault="004F07F4" w:rsidP="004F07F4">
      <w:pPr>
        <w:ind w:firstLine="720"/>
        <w:jc w:val="both"/>
        <w:rPr>
          <w:bCs/>
          <w:kern w:val="32"/>
          <w:sz w:val="22"/>
          <w:szCs w:val="22"/>
        </w:rPr>
      </w:pPr>
    </w:p>
    <w:p w:rsidR="004F07F4" w:rsidRPr="004F07F4" w:rsidRDefault="004F07F4" w:rsidP="004F07F4">
      <w:pPr>
        <w:ind w:firstLine="720"/>
        <w:jc w:val="both"/>
        <w:rPr>
          <w:b/>
          <w:bCs/>
          <w:kern w:val="32"/>
          <w:sz w:val="22"/>
          <w:szCs w:val="22"/>
        </w:rPr>
      </w:pPr>
      <w:r w:rsidRPr="004F07F4">
        <w:rPr>
          <w:b/>
          <w:bCs/>
          <w:kern w:val="32"/>
          <w:sz w:val="22"/>
          <w:szCs w:val="22"/>
        </w:rPr>
        <w:t>4 straipsnis. 14 straipsnio pakeitimas</w:t>
      </w:r>
    </w:p>
    <w:p w:rsidR="004F07F4" w:rsidRPr="004F07F4" w:rsidRDefault="004F07F4" w:rsidP="004F07F4">
      <w:pPr>
        <w:ind w:firstLine="720"/>
        <w:jc w:val="both"/>
        <w:rPr>
          <w:bCs/>
          <w:color w:val="000000"/>
          <w:kern w:val="32"/>
          <w:sz w:val="22"/>
          <w:szCs w:val="22"/>
        </w:rPr>
      </w:pPr>
      <w:r w:rsidRPr="004F07F4">
        <w:rPr>
          <w:bCs/>
          <w:color w:val="000000"/>
          <w:kern w:val="32"/>
          <w:sz w:val="22"/>
          <w:szCs w:val="22"/>
        </w:rPr>
        <w:t>Pakeisti 14 straipsnio 1 dalį ir ją išdėstyti taip:</w:t>
      </w:r>
    </w:p>
    <w:p w:rsidR="004F07F4" w:rsidRPr="004F07F4" w:rsidRDefault="004F07F4" w:rsidP="004F07F4">
      <w:pPr>
        <w:ind w:firstLine="720"/>
        <w:jc w:val="both"/>
        <w:rPr>
          <w:bCs/>
          <w:kern w:val="32"/>
          <w:sz w:val="22"/>
          <w:szCs w:val="22"/>
        </w:rPr>
      </w:pPr>
      <w:r w:rsidRPr="004F07F4">
        <w:rPr>
          <w:bCs/>
          <w:kern w:val="32"/>
          <w:sz w:val="22"/>
          <w:szCs w:val="22"/>
        </w:rPr>
        <w:t>„1. Šilumos vartotojui, neapmokėjusiam sąskaitos (mokėjimo pranešimo) daugiau kaip 30 kalendorinių dienų, skaičiuojant nuo vėliausios leistinos sąskaitos (mokėjimo pranešimo) apmokėjimo dienos, (įsiskolinusiam vartotojui) šilumos tiekėjas turi teisę sutartyse nustatyta tvarka sustabdyti šilumos ir (ar) karšto vandens pristatymą į įsiskolinusio vartotojo šildymo ir (ar) karšto vandens prietaisus. Daugiabučiame name leidžiama sustabdyti tik karšto vandens pristatymą į įsiskolinusio vartotojo karšto vandens prietaisus.“</w:t>
      </w:r>
    </w:p>
    <w:p w:rsidR="004F07F4" w:rsidRPr="004F07F4" w:rsidRDefault="004F07F4" w:rsidP="004F07F4">
      <w:pPr>
        <w:ind w:firstLine="720"/>
        <w:jc w:val="both"/>
        <w:rPr>
          <w:b/>
          <w:bCs/>
          <w:kern w:val="32"/>
          <w:sz w:val="22"/>
          <w:szCs w:val="22"/>
        </w:rPr>
      </w:pPr>
    </w:p>
    <w:p w:rsidR="004F07F4" w:rsidRPr="004F07F4" w:rsidRDefault="004F07F4" w:rsidP="004F07F4">
      <w:pPr>
        <w:ind w:firstLine="720"/>
        <w:jc w:val="both"/>
        <w:rPr>
          <w:b/>
          <w:bCs/>
          <w:kern w:val="32"/>
          <w:sz w:val="22"/>
          <w:szCs w:val="22"/>
        </w:rPr>
      </w:pPr>
      <w:r w:rsidRPr="004F07F4">
        <w:rPr>
          <w:b/>
          <w:bCs/>
          <w:kern w:val="32"/>
          <w:sz w:val="22"/>
          <w:szCs w:val="22"/>
        </w:rPr>
        <w:t>5 straipsnis. 16 straipsnio pakeitimas</w:t>
      </w:r>
    </w:p>
    <w:p w:rsidR="004F07F4" w:rsidRPr="004F07F4" w:rsidRDefault="004F07F4" w:rsidP="004F07F4">
      <w:pPr>
        <w:ind w:firstLine="720"/>
        <w:jc w:val="both"/>
        <w:rPr>
          <w:bCs/>
          <w:kern w:val="32"/>
          <w:sz w:val="22"/>
          <w:szCs w:val="22"/>
        </w:rPr>
      </w:pPr>
      <w:r w:rsidRPr="004F07F4">
        <w:rPr>
          <w:bCs/>
          <w:color w:val="000000"/>
          <w:kern w:val="32"/>
          <w:sz w:val="22"/>
          <w:szCs w:val="22"/>
        </w:rPr>
        <w:t>Pakeisti 16 straipsnio 3 dalį ir ją išdėstyti taip:</w:t>
      </w:r>
    </w:p>
    <w:p w:rsidR="004F07F4" w:rsidRPr="004F07F4" w:rsidRDefault="004F07F4" w:rsidP="004F07F4">
      <w:pPr>
        <w:ind w:firstLine="720"/>
        <w:jc w:val="both"/>
        <w:rPr>
          <w:bCs/>
          <w:strike/>
          <w:color w:val="000000"/>
          <w:kern w:val="32"/>
          <w:sz w:val="22"/>
          <w:szCs w:val="22"/>
        </w:rPr>
      </w:pPr>
      <w:r w:rsidRPr="004F07F4">
        <w:rPr>
          <w:bCs/>
          <w:color w:val="000000"/>
          <w:kern w:val="32"/>
          <w:sz w:val="22"/>
          <w:szCs w:val="22"/>
        </w:rPr>
        <w:t xml:space="preserve">„3. Daugiabučiuose namuose, jeigu yra techninės galimybės ir vartotojai pageidauja, šilumos tiekėjai įrengia vartotojo bute ar kitose patalpose </w:t>
      </w:r>
      <w:r w:rsidRPr="004F07F4">
        <w:rPr>
          <w:color w:val="000000"/>
          <w:kern w:val="32"/>
          <w:sz w:val="22"/>
          <w:szCs w:val="22"/>
        </w:rPr>
        <w:t>šilumos skaitiklius arba daliklius</w:t>
      </w:r>
      <w:r w:rsidRPr="004F07F4">
        <w:rPr>
          <w:bCs/>
          <w:color w:val="000000"/>
          <w:kern w:val="32"/>
          <w:sz w:val="22"/>
          <w:szCs w:val="22"/>
        </w:rPr>
        <w:t xml:space="preserve">. </w:t>
      </w:r>
      <w:r w:rsidRPr="004F07F4">
        <w:rPr>
          <w:color w:val="000000"/>
          <w:kern w:val="32"/>
          <w:sz w:val="22"/>
          <w:szCs w:val="22"/>
        </w:rPr>
        <w:t>Šiems vartotojams yra taikomas</w:t>
      </w:r>
      <w:r w:rsidRPr="004F07F4">
        <w:rPr>
          <w:bCs/>
          <w:color w:val="000000"/>
          <w:kern w:val="32"/>
          <w:sz w:val="22"/>
          <w:szCs w:val="22"/>
        </w:rPr>
        <w:t xml:space="preserve"> šio </w:t>
      </w:r>
      <w:r w:rsidRPr="004F07F4">
        <w:rPr>
          <w:color w:val="000000"/>
          <w:kern w:val="32"/>
          <w:sz w:val="22"/>
          <w:szCs w:val="22"/>
        </w:rPr>
        <w:t>įstatymo 11 straipsnio</w:t>
      </w:r>
      <w:r w:rsidRPr="004F07F4">
        <w:rPr>
          <w:bCs/>
          <w:color w:val="000000"/>
          <w:kern w:val="32"/>
          <w:sz w:val="22"/>
          <w:szCs w:val="22"/>
        </w:rPr>
        <w:t xml:space="preserve"> </w:t>
      </w:r>
      <w:r w:rsidRPr="004F07F4">
        <w:rPr>
          <w:color w:val="000000"/>
          <w:kern w:val="32"/>
          <w:sz w:val="22"/>
          <w:szCs w:val="22"/>
        </w:rPr>
        <w:t xml:space="preserve">5 dalyje </w:t>
      </w:r>
      <w:r w:rsidRPr="004F07F4">
        <w:rPr>
          <w:bCs/>
          <w:color w:val="000000"/>
          <w:kern w:val="32"/>
          <w:sz w:val="22"/>
          <w:szCs w:val="22"/>
        </w:rPr>
        <w:t xml:space="preserve">numatytas atskiras mokestis.“ </w:t>
      </w:r>
    </w:p>
    <w:p w:rsidR="004F07F4" w:rsidRPr="004F07F4" w:rsidRDefault="004F07F4" w:rsidP="004F07F4">
      <w:pPr>
        <w:ind w:firstLine="720"/>
        <w:jc w:val="both"/>
        <w:rPr>
          <w:bCs/>
          <w:kern w:val="32"/>
          <w:sz w:val="22"/>
          <w:szCs w:val="22"/>
        </w:rPr>
      </w:pPr>
    </w:p>
    <w:p w:rsidR="004F07F4" w:rsidRPr="004F07F4" w:rsidRDefault="004F07F4" w:rsidP="004F07F4">
      <w:pPr>
        <w:ind w:firstLine="720"/>
        <w:jc w:val="both"/>
        <w:rPr>
          <w:b/>
          <w:bCs/>
          <w:kern w:val="32"/>
          <w:sz w:val="22"/>
          <w:szCs w:val="22"/>
        </w:rPr>
      </w:pPr>
      <w:r w:rsidRPr="004F07F4">
        <w:rPr>
          <w:b/>
          <w:bCs/>
          <w:kern w:val="32"/>
          <w:sz w:val="22"/>
          <w:szCs w:val="22"/>
        </w:rPr>
        <w:t>6 straipsnis. Įstatymo įsigaliojimas ir įgyvendinimas</w:t>
      </w:r>
    </w:p>
    <w:p w:rsidR="004F07F4" w:rsidRPr="004F07F4" w:rsidRDefault="004F07F4" w:rsidP="004F07F4">
      <w:pPr>
        <w:ind w:firstLine="720"/>
        <w:jc w:val="both"/>
        <w:rPr>
          <w:bCs/>
          <w:kern w:val="32"/>
          <w:sz w:val="22"/>
          <w:szCs w:val="22"/>
        </w:rPr>
      </w:pPr>
      <w:r w:rsidRPr="004F07F4">
        <w:rPr>
          <w:bCs/>
          <w:kern w:val="32"/>
          <w:sz w:val="22"/>
          <w:szCs w:val="22"/>
        </w:rPr>
        <w:t xml:space="preserve">1. Šis įstatymas, išskyrus 2 straipsnio 1 dalį ir šio straipsnio 4 dalį, įsigalioja 2016 m. lapkričio 15 d. </w:t>
      </w:r>
    </w:p>
    <w:p w:rsidR="004F07F4" w:rsidRPr="004F07F4" w:rsidRDefault="004F07F4" w:rsidP="004F07F4">
      <w:pPr>
        <w:ind w:firstLine="720"/>
        <w:jc w:val="both"/>
        <w:rPr>
          <w:bCs/>
          <w:kern w:val="32"/>
          <w:sz w:val="22"/>
          <w:szCs w:val="22"/>
        </w:rPr>
      </w:pPr>
      <w:r w:rsidRPr="004F07F4">
        <w:rPr>
          <w:bCs/>
          <w:kern w:val="32"/>
          <w:sz w:val="22"/>
          <w:szCs w:val="22"/>
        </w:rPr>
        <w:t>2. Šio įstatymo 2 straipsnio 1 dalis įsigalioja 2017 m. kovo 1 d.</w:t>
      </w:r>
    </w:p>
    <w:p w:rsidR="004F07F4" w:rsidRPr="004F07F4" w:rsidRDefault="004F07F4" w:rsidP="004F07F4">
      <w:pPr>
        <w:ind w:firstLine="720"/>
        <w:jc w:val="both"/>
        <w:rPr>
          <w:bCs/>
          <w:kern w:val="32"/>
          <w:sz w:val="22"/>
          <w:szCs w:val="22"/>
        </w:rPr>
      </w:pPr>
      <w:r w:rsidRPr="004F07F4">
        <w:rPr>
          <w:bCs/>
          <w:kern w:val="32"/>
          <w:sz w:val="22"/>
          <w:szCs w:val="22"/>
        </w:rPr>
        <w:t>3. Šio įstatymo 2 straipsnio 1 dalyje išdėstytos Lietuvos Respublikos šilumos ūkio įstatymo 11 straipsnio 4 dalies nuostatos netaikomos statiniams, dėl kurių prašymas išduoti statybą leidžiantį dokumentą pateiktas iki šio įstatymo įsigaliojimo.</w:t>
      </w:r>
    </w:p>
    <w:p w:rsidR="004F07F4" w:rsidRPr="004F07F4" w:rsidRDefault="004F07F4" w:rsidP="004F07F4">
      <w:pPr>
        <w:ind w:firstLine="720"/>
        <w:jc w:val="both"/>
        <w:rPr>
          <w:bCs/>
          <w:kern w:val="32"/>
          <w:sz w:val="22"/>
          <w:szCs w:val="22"/>
        </w:rPr>
      </w:pPr>
      <w:r w:rsidRPr="004F07F4">
        <w:rPr>
          <w:bCs/>
          <w:kern w:val="32"/>
          <w:sz w:val="22"/>
          <w:szCs w:val="22"/>
        </w:rPr>
        <w:t>4. Lietuvos Respublikos Vyriausybė ir jos įgaliotos institucijos, Lietuvos Respublikos energetikos ministras, Valstybinė kainų ir energetikos kontrolės komisija iki šio įstatymo įsigaliojimo priima šio įstatymo įgyvendinamuosius teisės aktus.</w:t>
      </w:r>
    </w:p>
    <w:p w:rsidR="004F07F4" w:rsidRPr="004F07F4" w:rsidRDefault="004F07F4" w:rsidP="004F07F4">
      <w:pPr>
        <w:ind w:firstLine="720"/>
        <w:jc w:val="both"/>
        <w:rPr>
          <w:bCs/>
          <w:kern w:val="32"/>
          <w:sz w:val="22"/>
          <w:szCs w:val="22"/>
        </w:rPr>
      </w:pPr>
    </w:p>
    <w:p w:rsidR="004F07F4" w:rsidRPr="004F07F4" w:rsidRDefault="004F07F4" w:rsidP="004F07F4">
      <w:pPr>
        <w:ind w:firstLine="720"/>
        <w:jc w:val="both"/>
        <w:rPr>
          <w:i/>
          <w:sz w:val="22"/>
          <w:szCs w:val="22"/>
        </w:rPr>
      </w:pPr>
      <w:r w:rsidRPr="004F07F4">
        <w:rPr>
          <w:i/>
          <w:sz w:val="22"/>
          <w:szCs w:val="22"/>
        </w:rPr>
        <w:t>Skelbiu šį Lietuvos Respublikos Seimo priimtą įstatymą.</w:t>
      </w:r>
    </w:p>
    <w:p w:rsidR="004F07F4" w:rsidRPr="004F07F4" w:rsidRDefault="004F07F4" w:rsidP="004F07F4">
      <w:pPr>
        <w:rPr>
          <w:i/>
          <w:sz w:val="22"/>
          <w:szCs w:val="22"/>
        </w:rPr>
      </w:pPr>
    </w:p>
    <w:p w:rsidR="004F07F4" w:rsidRDefault="004F07F4" w:rsidP="004F07F4">
      <w:pPr>
        <w:spacing w:line="360" w:lineRule="auto"/>
      </w:pPr>
    </w:p>
    <w:p w:rsidR="004F07F4" w:rsidRDefault="004F07F4" w:rsidP="00961276">
      <w:pPr>
        <w:tabs>
          <w:tab w:val="right" w:pos="9356"/>
        </w:tabs>
      </w:pPr>
      <w:r>
        <w:t>Respublikos Prezidentė</w:t>
      </w:r>
      <w:r>
        <w:rPr>
          <w:caps/>
        </w:rPr>
        <w:tab/>
      </w:r>
      <w:r>
        <w:t>Dalia Grybauskaitė</w:t>
      </w:r>
    </w:p>
    <w:sectPr w:rsidR="004F07F4" w:rsidSect="00961276">
      <w:headerReference w:type="even" r:id="rId19"/>
      <w:headerReference w:type="default" r:id="rId20"/>
      <w:footerReference w:type="even" r:id="rId21"/>
      <w:footerReference w:type="default" r:id="rId22"/>
      <w:headerReference w:type="first" r:id="rId23"/>
      <w:footerReference w:type="first" r:id="rId24"/>
      <w:pgSz w:w="11906" w:h="16838"/>
      <w:pgMar w:top="851" w:right="567" w:bottom="567" w:left="1418" w:header="283"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80B" w:rsidRDefault="0095180B">
      <w:r>
        <w:separator/>
      </w:r>
    </w:p>
  </w:endnote>
  <w:endnote w:type="continuationSeparator" w:id="0">
    <w:p w:rsidR="0095180B" w:rsidRDefault="0095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F0C" w:rsidRDefault="004F07F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862F0C" w:rsidRDefault="0095180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F0C" w:rsidRDefault="0095180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F0C" w:rsidRDefault="0095180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80B" w:rsidRDefault="0095180B">
      <w:r>
        <w:separator/>
      </w:r>
    </w:p>
  </w:footnote>
  <w:footnote w:type="continuationSeparator" w:id="0">
    <w:p w:rsidR="0095180B" w:rsidRDefault="0095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F0C" w:rsidRDefault="004F07F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862F0C" w:rsidRDefault="0095180B">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F0C" w:rsidRDefault="0095180B">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F0C" w:rsidRDefault="0095180B">
    <w:pPr>
      <w:tabs>
        <w:tab w:val="center" w:pos="4153"/>
        <w:tab w:val="right" w:pos="8306"/>
      </w:tabs>
      <w:rPr>
        <w:rFonts w:ascii="TimesLT" w:hAnsi="TimesLT"/>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93E8C"/>
    <w:multiLevelType w:val="hybridMultilevel"/>
    <w:tmpl w:val="711CB444"/>
    <w:lvl w:ilvl="0" w:tplc="AD8441CA">
      <w:start w:val="7"/>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99"/>
    <w:rsid w:val="000340E1"/>
    <w:rsid w:val="00044898"/>
    <w:rsid w:val="0009793C"/>
    <w:rsid w:val="000E6346"/>
    <w:rsid w:val="001341DD"/>
    <w:rsid w:val="003E749E"/>
    <w:rsid w:val="00433B13"/>
    <w:rsid w:val="00443699"/>
    <w:rsid w:val="004F07F4"/>
    <w:rsid w:val="005B27B5"/>
    <w:rsid w:val="00654E5A"/>
    <w:rsid w:val="006D6097"/>
    <w:rsid w:val="006E4D29"/>
    <w:rsid w:val="006F09F2"/>
    <w:rsid w:val="007439C4"/>
    <w:rsid w:val="00836434"/>
    <w:rsid w:val="0095180B"/>
    <w:rsid w:val="00961276"/>
    <w:rsid w:val="009C62F1"/>
    <w:rsid w:val="00B040F2"/>
    <w:rsid w:val="00B12DFA"/>
    <w:rsid w:val="00B549C5"/>
    <w:rsid w:val="00C66F24"/>
    <w:rsid w:val="00D951B4"/>
    <w:rsid w:val="00E12335"/>
    <w:rsid w:val="00E27A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EFD9"/>
  <w15:chartTrackingRefBased/>
  <w15:docId w15:val="{3AEC9BFE-4260-4D1E-B187-62358AE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3699"/>
    <w:pPr>
      <w:spacing w:before="100" w:beforeAutospacing="1" w:after="100" w:afterAutospacing="1"/>
    </w:pPr>
    <w:rPr>
      <w:rFonts w:eastAsiaTheme="minorHAnsi"/>
      <w:szCs w:val="24"/>
      <w:lang w:eastAsia="lt-LT"/>
    </w:rPr>
  </w:style>
  <w:style w:type="character" w:styleId="Hyperlink">
    <w:name w:val="Hyperlink"/>
    <w:basedOn w:val="DefaultParagraphFont"/>
    <w:uiPriority w:val="99"/>
    <w:unhideWhenUsed/>
    <w:rsid w:val="00B040F2"/>
    <w:rPr>
      <w:color w:val="0000FF" w:themeColor="hyperlink"/>
      <w:u w:val="single"/>
    </w:rPr>
  </w:style>
  <w:style w:type="character" w:styleId="UnresolvedMention">
    <w:name w:val="Unresolved Mention"/>
    <w:basedOn w:val="DefaultParagraphFont"/>
    <w:uiPriority w:val="99"/>
    <w:semiHidden/>
    <w:unhideWhenUsed/>
    <w:rsid w:val="00B040F2"/>
    <w:rPr>
      <w:color w:val="808080"/>
      <w:shd w:val="clear" w:color="auto" w:fill="E6E6E6"/>
    </w:rPr>
  </w:style>
  <w:style w:type="character" w:styleId="FollowedHyperlink">
    <w:name w:val="FollowedHyperlink"/>
    <w:basedOn w:val="DefaultParagraphFont"/>
    <w:uiPriority w:val="99"/>
    <w:semiHidden/>
    <w:unhideWhenUsed/>
    <w:rsid w:val="00B040F2"/>
    <w:rPr>
      <w:color w:val="800080" w:themeColor="followedHyperlink"/>
      <w:u w:val="single"/>
    </w:rPr>
  </w:style>
  <w:style w:type="character" w:styleId="CommentReference">
    <w:name w:val="annotation reference"/>
    <w:basedOn w:val="DefaultParagraphFont"/>
    <w:uiPriority w:val="99"/>
    <w:semiHidden/>
    <w:unhideWhenUsed/>
    <w:rsid w:val="00E12335"/>
    <w:rPr>
      <w:sz w:val="16"/>
      <w:szCs w:val="16"/>
    </w:rPr>
  </w:style>
  <w:style w:type="paragraph" w:styleId="CommentText">
    <w:name w:val="annotation text"/>
    <w:basedOn w:val="Normal"/>
    <w:link w:val="CommentTextChar"/>
    <w:uiPriority w:val="99"/>
    <w:semiHidden/>
    <w:unhideWhenUsed/>
    <w:rsid w:val="00E12335"/>
    <w:rPr>
      <w:sz w:val="20"/>
    </w:rPr>
  </w:style>
  <w:style w:type="character" w:customStyle="1" w:styleId="CommentTextChar">
    <w:name w:val="Comment Text Char"/>
    <w:basedOn w:val="DefaultParagraphFont"/>
    <w:link w:val="CommentText"/>
    <w:uiPriority w:val="99"/>
    <w:semiHidden/>
    <w:rsid w:val="00E12335"/>
    <w:rPr>
      <w:sz w:val="20"/>
    </w:rPr>
  </w:style>
  <w:style w:type="paragraph" w:styleId="CommentSubject">
    <w:name w:val="annotation subject"/>
    <w:basedOn w:val="CommentText"/>
    <w:next w:val="CommentText"/>
    <w:link w:val="CommentSubjectChar"/>
    <w:uiPriority w:val="99"/>
    <w:semiHidden/>
    <w:unhideWhenUsed/>
    <w:rsid w:val="00E12335"/>
    <w:rPr>
      <w:b/>
      <w:bCs/>
    </w:rPr>
  </w:style>
  <w:style w:type="character" w:customStyle="1" w:styleId="CommentSubjectChar">
    <w:name w:val="Comment Subject Char"/>
    <w:basedOn w:val="CommentTextChar"/>
    <w:link w:val="CommentSubject"/>
    <w:uiPriority w:val="99"/>
    <w:semiHidden/>
    <w:rsid w:val="00E12335"/>
    <w:rPr>
      <w:b/>
      <w:bCs/>
      <w:sz w:val="20"/>
    </w:rPr>
  </w:style>
  <w:style w:type="paragraph" w:styleId="BalloonText">
    <w:name w:val="Balloon Text"/>
    <w:basedOn w:val="Normal"/>
    <w:link w:val="BalloonTextChar"/>
    <w:uiPriority w:val="99"/>
    <w:semiHidden/>
    <w:unhideWhenUsed/>
    <w:rsid w:val="00E12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534">
      <w:bodyDiv w:val="1"/>
      <w:marLeft w:val="0"/>
      <w:marRight w:val="0"/>
      <w:marTop w:val="0"/>
      <w:marBottom w:val="0"/>
      <w:divBdr>
        <w:top w:val="none" w:sz="0" w:space="0" w:color="auto"/>
        <w:left w:val="none" w:sz="0" w:space="0" w:color="auto"/>
        <w:bottom w:val="none" w:sz="0" w:space="0" w:color="auto"/>
        <w:right w:val="none" w:sz="0" w:space="0" w:color="auto"/>
      </w:divBdr>
    </w:div>
    <w:div w:id="15497690">
      <w:bodyDiv w:val="1"/>
      <w:marLeft w:val="0"/>
      <w:marRight w:val="0"/>
      <w:marTop w:val="0"/>
      <w:marBottom w:val="0"/>
      <w:divBdr>
        <w:top w:val="none" w:sz="0" w:space="0" w:color="auto"/>
        <w:left w:val="none" w:sz="0" w:space="0" w:color="auto"/>
        <w:bottom w:val="none" w:sz="0" w:space="0" w:color="auto"/>
        <w:right w:val="none" w:sz="0" w:space="0" w:color="auto"/>
      </w:divBdr>
      <w:divsChild>
        <w:div w:id="1537430544">
          <w:marLeft w:val="0"/>
          <w:marRight w:val="0"/>
          <w:marTop w:val="0"/>
          <w:marBottom w:val="0"/>
          <w:divBdr>
            <w:top w:val="none" w:sz="0" w:space="0" w:color="auto"/>
            <w:left w:val="none" w:sz="0" w:space="0" w:color="auto"/>
            <w:bottom w:val="none" w:sz="0" w:space="0" w:color="auto"/>
            <w:right w:val="none" w:sz="0" w:space="0" w:color="auto"/>
          </w:divBdr>
        </w:div>
      </w:divsChild>
    </w:div>
    <w:div w:id="302272803">
      <w:bodyDiv w:val="1"/>
      <w:marLeft w:val="0"/>
      <w:marRight w:val="0"/>
      <w:marTop w:val="0"/>
      <w:marBottom w:val="0"/>
      <w:divBdr>
        <w:top w:val="none" w:sz="0" w:space="0" w:color="auto"/>
        <w:left w:val="none" w:sz="0" w:space="0" w:color="auto"/>
        <w:bottom w:val="none" w:sz="0" w:space="0" w:color="auto"/>
        <w:right w:val="none" w:sz="0" w:space="0" w:color="auto"/>
      </w:divBdr>
    </w:div>
    <w:div w:id="410271717">
      <w:bodyDiv w:val="1"/>
      <w:marLeft w:val="0"/>
      <w:marRight w:val="0"/>
      <w:marTop w:val="0"/>
      <w:marBottom w:val="0"/>
      <w:divBdr>
        <w:top w:val="none" w:sz="0" w:space="0" w:color="auto"/>
        <w:left w:val="none" w:sz="0" w:space="0" w:color="auto"/>
        <w:bottom w:val="none" w:sz="0" w:space="0" w:color="auto"/>
        <w:right w:val="none" w:sz="0" w:space="0" w:color="auto"/>
      </w:divBdr>
    </w:div>
    <w:div w:id="537084357">
      <w:bodyDiv w:val="1"/>
      <w:marLeft w:val="0"/>
      <w:marRight w:val="0"/>
      <w:marTop w:val="0"/>
      <w:marBottom w:val="0"/>
      <w:divBdr>
        <w:top w:val="none" w:sz="0" w:space="0" w:color="auto"/>
        <w:left w:val="none" w:sz="0" w:space="0" w:color="auto"/>
        <w:bottom w:val="none" w:sz="0" w:space="0" w:color="auto"/>
        <w:right w:val="none" w:sz="0" w:space="0" w:color="auto"/>
      </w:divBdr>
    </w:div>
    <w:div w:id="658198044">
      <w:bodyDiv w:val="1"/>
      <w:marLeft w:val="0"/>
      <w:marRight w:val="0"/>
      <w:marTop w:val="0"/>
      <w:marBottom w:val="0"/>
      <w:divBdr>
        <w:top w:val="none" w:sz="0" w:space="0" w:color="auto"/>
        <w:left w:val="none" w:sz="0" w:space="0" w:color="auto"/>
        <w:bottom w:val="none" w:sz="0" w:space="0" w:color="auto"/>
        <w:right w:val="none" w:sz="0" w:space="0" w:color="auto"/>
      </w:divBdr>
    </w:div>
    <w:div w:id="670259383">
      <w:bodyDiv w:val="1"/>
      <w:marLeft w:val="0"/>
      <w:marRight w:val="0"/>
      <w:marTop w:val="0"/>
      <w:marBottom w:val="0"/>
      <w:divBdr>
        <w:top w:val="none" w:sz="0" w:space="0" w:color="auto"/>
        <w:left w:val="none" w:sz="0" w:space="0" w:color="auto"/>
        <w:bottom w:val="none" w:sz="0" w:space="0" w:color="auto"/>
        <w:right w:val="none" w:sz="0" w:space="0" w:color="auto"/>
      </w:divBdr>
    </w:div>
    <w:div w:id="945312553">
      <w:bodyDiv w:val="1"/>
      <w:marLeft w:val="0"/>
      <w:marRight w:val="0"/>
      <w:marTop w:val="0"/>
      <w:marBottom w:val="0"/>
      <w:divBdr>
        <w:top w:val="none" w:sz="0" w:space="0" w:color="auto"/>
        <w:left w:val="none" w:sz="0" w:space="0" w:color="auto"/>
        <w:bottom w:val="none" w:sz="0" w:space="0" w:color="auto"/>
        <w:right w:val="none" w:sz="0" w:space="0" w:color="auto"/>
      </w:divBdr>
      <w:divsChild>
        <w:div w:id="428626395">
          <w:marLeft w:val="0"/>
          <w:marRight w:val="0"/>
          <w:marTop w:val="0"/>
          <w:marBottom w:val="0"/>
          <w:divBdr>
            <w:top w:val="none" w:sz="0" w:space="0" w:color="auto"/>
            <w:left w:val="none" w:sz="0" w:space="0" w:color="auto"/>
            <w:bottom w:val="none" w:sz="0" w:space="0" w:color="auto"/>
            <w:right w:val="none" w:sz="0" w:space="0" w:color="auto"/>
          </w:divBdr>
        </w:div>
      </w:divsChild>
    </w:div>
    <w:div w:id="1370765000">
      <w:bodyDiv w:val="1"/>
      <w:marLeft w:val="0"/>
      <w:marRight w:val="0"/>
      <w:marTop w:val="0"/>
      <w:marBottom w:val="0"/>
      <w:divBdr>
        <w:top w:val="none" w:sz="0" w:space="0" w:color="auto"/>
        <w:left w:val="none" w:sz="0" w:space="0" w:color="auto"/>
        <w:bottom w:val="none" w:sz="0" w:space="0" w:color="auto"/>
        <w:right w:val="none" w:sz="0" w:space="0" w:color="auto"/>
      </w:divBdr>
      <w:divsChild>
        <w:div w:id="1749880296">
          <w:marLeft w:val="0"/>
          <w:marRight w:val="0"/>
          <w:marTop w:val="0"/>
          <w:marBottom w:val="0"/>
          <w:divBdr>
            <w:top w:val="none" w:sz="0" w:space="0" w:color="auto"/>
            <w:left w:val="none" w:sz="0" w:space="0" w:color="auto"/>
            <w:bottom w:val="none" w:sz="0" w:space="0" w:color="auto"/>
            <w:right w:val="none" w:sz="0" w:space="0" w:color="auto"/>
          </w:divBdr>
        </w:div>
        <w:div w:id="58751076">
          <w:marLeft w:val="0"/>
          <w:marRight w:val="0"/>
          <w:marTop w:val="0"/>
          <w:marBottom w:val="0"/>
          <w:divBdr>
            <w:top w:val="none" w:sz="0" w:space="0" w:color="auto"/>
            <w:left w:val="none" w:sz="0" w:space="0" w:color="auto"/>
            <w:bottom w:val="none" w:sz="0" w:space="0" w:color="auto"/>
            <w:right w:val="none" w:sz="0" w:space="0" w:color="auto"/>
          </w:divBdr>
        </w:div>
        <w:div w:id="1051156077">
          <w:marLeft w:val="0"/>
          <w:marRight w:val="0"/>
          <w:marTop w:val="0"/>
          <w:marBottom w:val="0"/>
          <w:divBdr>
            <w:top w:val="none" w:sz="0" w:space="0" w:color="auto"/>
            <w:left w:val="none" w:sz="0" w:space="0" w:color="auto"/>
            <w:bottom w:val="none" w:sz="0" w:space="0" w:color="auto"/>
            <w:right w:val="none" w:sz="0" w:space="0" w:color="auto"/>
          </w:divBdr>
        </w:div>
        <w:div w:id="62766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0B8D09CABCF1" TargetMode="External"/><Relationship Id="rId13" Type="http://schemas.openxmlformats.org/officeDocument/2006/relationships/hyperlink" Target="https://www.e-tar.lt/portal/lt/legalAct/21ef84c0f8f511e68034be159a964f47"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tar.lt/portal/lt/legalAct/c3eb4b20bbb911e688d0ed775a2e782a"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95f761a09c4a11e78bd78a8ea3cd074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99d025a0978111e78871f4322bb82f2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tar.lt/portal/lt/legalAct/cd89c430688011e7827cd63159af616c" TargetMode="External"/><Relationship Id="rId23" Type="http://schemas.openxmlformats.org/officeDocument/2006/relationships/header" Target="header3.xml"/><Relationship Id="rId10" Type="http://schemas.openxmlformats.org/officeDocument/2006/relationships/hyperlink" Target="https://www.e-tar.lt/portal/lt/legalAct/6cd1ea60fa6711e5a52397090a2fa15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ff7d3c60adde11e4b1d79f4bef60993c" TargetMode="External"/><Relationship Id="rId14" Type="http://schemas.openxmlformats.org/officeDocument/2006/relationships/hyperlink" Target="https://www.e-tar.lt/portal/lt/legalAct/545e55e093bd11e7b23ac1559fb02b2d" TargetMode="External"/><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05A9-0363-4099-91D8-C28A957A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7686</Words>
  <Characters>4382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Mantas</cp:lastModifiedBy>
  <cp:revision>16</cp:revision>
  <dcterms:created xsi:type="dcterms:W3CDTF">2017-05-09T06:39:00Z</dcterms:created>
  <dcterms:modified xsi:type="dcterms:W3CDTF">2017-11-21T14:21:00Z</dcterms:modified>
</cp:coreProperties>
</file>